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84FA" w14:textId="5126E73C" w:rsidR="004417A8" w:rsidRPr="00D76C7E" w:rsidRDefault="004417A8" w:rsidP="000F5EF2">
      <w:pPr>
        <w:pStyle w:val="SCT"/>
      </w:pPr>
      <w:r w:rsidRPr="00D76C7E">
        <w:t xml:space="preserve">SECTION </w:t>
      </w:r>
      <w:r w:rsidRPr="00D76C7E">
        <w:rPr>
          <w:rStyle w:val="NUM"/>
          <w:bCs/>
        </w:rPr>
        <w:t>321724</w:t>
      </w:r>
      <w:r w:rsidRPr="00D76C7E">
        <w:t xml:space="preserve"> </w:t>
      </w:r>
      <w:r>
        <w:t>-</w:t>
      </w:r>
      <w:r w:rsidRPr="00D76C7E">
        <w:t xml:space="preserve"> ATHLETIC TRACK LINE MARKING</w:t>
      </w:r>
    </w:p>
    <w:p w14:paraId="1F778899" w14:textId="77777777" w:rsidR="004417A8" w:rsidRDefault="004417A8">
      <w:pPr>
        <w:pStyle w:val="PRT"/>
        <w:rPr>
          <w:bCs/>
        </w:rPr>
      </w:pPr>
      <w:r w:rsidRPr="00D76C7E">
        <w:rPr>
          <w:bCs/>
        </w:rPr>
        <w:t>GENERAL</w:t>
      </w:r>
    </w:p>
    <w:p w14:paraId="47C01246" w14:textId="77777777" w:rsidR="004417A8" w:rsidRPr="001417D1" w:rsidRDefault="004417A8" w:rsidP="000F5EF2">
      <w:pPr>
        <w:pStyle w:val="ART"/>
        <w:spacing w:before="240"/>
      </w:pPr>
      <w:r w:rsidRPr="001417D1">
        <w:t>SUMMARY</w:t>
      </w:r>
    </w:p>
    <w:p w14:paraId="2E89E637" w14:textId="77777777" w:rsidR="004417A8" w:rsidRPr="006C5B4E" w:rsidRDefault="004417A8" w:rsidP="000F5EF2">
      <w:pPr>
        <w:pStyle w:val="PR1"/>
      </w:pPr>
      <w:r w:rsidRPr="006C5B4E">
        <w:t>Section includes:</w:t>
      </w:r>
    </w:p>
    <w:p w14:paraId="7B519D33" w14:textId="77777777" w:rsidR="004417A8" w:rsidRDefault="004417A8" w:rsidP="000F5EF2">
      <w:pPr>
        <w:pStyle w:val="PR2"/>
        <w:contextualSpacing w:val="0"/>
      </w:pPr>
      <w:r w:rsidRPr="006C5B4E">
        <w:t>Athletic track marking.</w:t>
      </w:r>
    </w:p>
    <w:p w14:paraId="0508A9D6" w14:textId="77777777" w:rsidR="004417A8" w:rsidRDefault="004417A8" w:rsidP="000F5EF2">
      <w:pPr>
        <w:pStyle w:val="ART"/>
        <w:spacing w:before="240"/>
      </w:pPr>
      <w:r w:rsidRPr="005C1557">
        <w:t>SUBMITTALS</w:t>
      </w:r>
      <w:bookmarkStart w:id="0" w:name="_Hlk59198059"/>
    </w:p>
    <w:p w14:paraId="38683768" w14:textId="77777777" w:rsidR="004417A8" w:rsidRDefault="004417A8" w:rsidP="00B7080C">
      <w:pPr>
        <w:pStyle w:val="PR1"/>
      </w:pPr>
      <w:r>
        <w:t>Submittals for this section are subject to the re-evaluation fee identified in Article 4 of the General Conditions.</w:t>
      </w:r>
    </w:p>
    <w:p w14:paraId="11226142" w14:textId="77777777" w:rsidR="004417A8" w:rsidRDefault="004417A8" w:rsidP="00B7080C">
      <w:pPr>
        <w:pStyle w:val="PR1"/>
      </w:pPr>
      <w:r>
        <w:t>Manufacturer’s installation instructions shall be provided along with product data.</w:t>
      </w:r>
    </w:p>
    <w:p w14:paraId="6EF9D799" w14:textId="77777777" w:rsidR="004417A8" w:rsidRDefault="004417A8" w:rsidP="00B7080C">
      <w:pPr>
        <w:pStyle w:val="PR1"/>
      </w:pPr>
      <w:r>
        <w:t>Submittals shall be provided in the order in which they are specified and tabbed (for combined submittals).</w:t>
      </w:r>
    </w:p>
    <w:bookmarkEnd w:id="0"/>
    <w:p w14:paraId="452A2A62" w14:textId="77777777" w:rsidR="004417A8" w:rsidRPr="00662E64" w:rsidRDefault="004417A8" w:rsidP="000F5EF2">
      <w:pPr>
        <w:pStyle w:val="PR1"/>
      </w:pPr>
      <w:r w:rsidRPr="00D76C7E">
        <w:t>Product Data: Color chart and manufacturer’s label with product analysis.</w:t>
      </w:r>
    </w:p>
    <w:p w14:paraId="7DA8D9E6" w14:textId="77777777" w:rsidR="004417A8" w:rsidRPr="00662E64" w:rsidRDefault="004417A8" w:rsidP="000F5EF2">
      <w:pPr>
        <w:pStyle w:val="PR1"/>
      </w:pPr>
      <w:r w:rsidRPr="00D76C7E">
        <w:t>Shop Drawings:  Color layout plan.</w:t>
      </w:r>
    </w:p>
    <w:p w14:paraId="51BC46C3" w14:textId="77777777" w:rsidR="004417A8" w:rsidRPr="00662E64" w:rsidRDefault="004417A8" w:rsidP="000F5EF2">
      <w:pPr>
        <w:pStyle w:val="PR1"/>
      </w:pPr>
      <w:r w:rsidRPr="00D76C7E">
        <w:t>Quality Control Submittals:</w:t>
      </w:r>
    </w:p>
    <w:p w14:paraId="3EF38A92" w14:textId="48BC4B9D" w:rsidR="004417A8" w:rsidRDefault="004417A8" w:rsidP="000F5EF2">
      <w:pPr>
        <w:pStyle w:val="PR2"/>
        <w:contextualSpacing w:val="0"/>
      </w:pPr>
      <w:r w:rsidRPr="00D76C7E">
        <w:t xml:space="preserve">Certification: After completion of the Work of this Section, furnish written certification by a N.Y. </w:t>
      </w:r>
      <w:r w:rsidRPr="00662E64">
        <w:t xml:space="preserve">State </w:t>
      </w:r>
      <w:r>
        <w:t>L</w:t>
      </w:r>
      <w:r w:rsidRPr="00662E64">
        <w:t>icensed Engineer</w:t>
      </w:r>
      <w:r w:rsidRPr="00D76C7E">
        <w:t xml:space="preserve"> or Land Surveyor that all athletic track lines and markings were applied in accordance with the current </w:t>
      </w:r>
      <w:r>
        <w:t>r</w:t>
      </w:r>
      <w:r w:rsidRPr="00D76C7E">
        <w:t>ules of the NFHS (National Federation of State High School Associations).</w:t>
      </w:r>
    </w:p>
    <w:p w14:paraId="2017D3D0" w14:textId="77777777" w:rsidR="004417A8" w:rsidRDefault="004417A8" w:rsidP="000F5EF2">
      <w:pPr>
        <w:pStyle w:val="ART"/>
        <w:spacing w:before="240"/>
      </w:pPr>
      <w:r w:rsidRPr="00D76C7E">
        <w:t>PROJECT CONDITIONS</w:t>
      </w:r>
    </w:p>
    <w:p w14:paraId="4D25A50F" w14:textId="77777777" w:rsidR="004417A8" w:rsidRPr="00662E64" w:rsidRDefault="004417A8" w:rsidP="000F5EF2">
      <w:pPr>
        <w:pStyle w:val="PR1"/>
      </w:pPr>
      <w:r w:rsidRPr="00D76C7E">
        <w:t xml:space="preserve">Apply paint when rain is not imminent or forecast.  Temperatures must be above 50 degrees F during application and for at least 24 hours after application. </w:t>
      </w:r>
    </w:p>
    <w:p w14:paraId="383A09C4" w14:textId="77777777" w:rsidR="004417A8" w:rsidRPr="00D76C7E" w:rsidRDefault="004417A8" w:rsidP="000F5EF2">
      <w:pPr>
        <w:pStyle w:val="PR1"/>
      </w:pPr>
      <w:r w:rsidRPr="00D76C7E">
        <w:t>Provide adequate watchman, barricades or other protective methods in order to prevent traffic over newly painted areas.</w:t>
      </w:r>
    </w:p>
    <w:p w14:paraId="4FFF7FA0" w14:textId="77777777" w:rsidR="004417A8" w:rsidRDefault="004417A8" w:rsidP="005C1557">
      <w:pPr>
        <w:pStyle w:val="PRT"/>
        <w:rPr>
          <w:bCs/>
        </w:rPr>
      </w:pPr>
      <w:r w:rsidRPr="00662E64">
        <w:rPr>
          <w:bCs/>
        </w:rPr>
        <w:t>PRODUCTS</w:t>
      </w:r>
    </w:p>
    <w:p w14:paraId="17CFFA0A" w14:textId="77777777" w:rsidR="004417A8" w:rsidRDefault="004417A8" w:rsidP="000F5EF2">
      <w:pPr>
        <w:pStyle w:val="ART"/>
        <w:spacing w:before="240"/>
      </w:pPr>
      <w:r w:rsidRPr="004263B7">
        <w:t>MATERIAL</w:t>
      </w:r>
    </w:p>
    <w:p w14:paraId="20B80E1A" w14:textId="77777777" w:rsidR="004417A8" w:rsidRDefault="004417A8">
      <w:pPr>
        <w:pStyle w:val="PR1"/>
      </w:pPr>
      <w:r w:rsidRPr="009E58E6">
        <w:t xml:space="preserve">Paint:  </w:t>
      </w:r>
    </w:p>
    <w:p w14:paraId="5001C553" w14:textId="77777777" w:rsidR="004417A8" w:rsidRDefault="004417A8" w:rsidP="000F5EF2">
      <w:pPr>
        <w:pStyle w:val="PR2"/>
        <w:contextualSpacing w:val="0"/>
      </w:pPr>
      <w:r>
        <w:t>Manufacturers:</w:t>
      </w:r>
    </w:p>
    <w:p w14:paraId="6EFBDEBC" w14:textId="77777777" w:rsidR="004417A8" w:rsidRDefault="004417A8" w:rsidP="000F5EF2">
      <w:pPr>
        <w:pStyle w:val="PR3"/>
        <w:contextualSpacing w:val="0"/>
      </w:pPr>
      <w:r w:rsidRPr="009E58E6">
        <w:lastRenderedPageBreak/>
        <w:t xml:space="preserve">SportMaster 100% Acrylic Line Paint by ThorWorks Industries, Sandusky, OH.  Tel. 800-395-7325.  Web address:  </w:t>
      </w:r>
      <w:hyperlink r:id="rId11" w:history="1">
        <w:r w:rsidRPr="009E58E6">
          <w:rPr>
            <w:rStyle w:val="Hyperlink"/>
            <w:bCs/>
          </w:rPr>
          <w:t>www.thorworks.com</w:t>
        </w:r>
      </w:hyperlink>
      <w:r>
        <w:t>.</w:t>
      </w:r>
    </w:p>
    <w:p w14:paraId="02B97264" w14:textId="7BC53235" w:rsidR="004417A8" w:rsidRDefault="004417A8" w:rsidP="004417A8">
      <w:pPr>
        <w:pStyle w:val="PR3"/>
        <w:spacing w:before="0"/>
        <w:contextualSpacing w:val="0"/>
      </w:pPr>
      <w:r>
        <w:t>Approved equivalent</w:t>
      </w:r>
      <w:r w:rsidRPr="009E58E6">
        <w:t xml:space="preserve">. </w:t>
      </w:r>
    </w:p>
    <w:p w14:paraId="0EEFDA47" w14:textId="77777777" w:rsidR="004417A8" w:rsidRPr="000F5EF2" w:rsidRDefault="004417A8" w:rsidP="000F5EF2">
      <w:pPr>
        <w:pStyle w:val="PR3"/>
        <w:numPr>
          <w:ilvl w:val="0"/>
          <w:numId w:val="0"/>
        </w:numPr>
        <w:ind w:left="2016"/>
      </w:pPr>
    </w:p>
    <w:tbl>
      <w:tblPr>
        <w:tblStyle w:val="TableGrid"/>
        <w:tblW w:w="7334" w:type="dxa"/>
        <w:tblInd w:w="20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3667"/>
      </w:tblGrid>
      <w:tr w:rsidR="004417A8" w14:paraId="6183188F" w14:textId="77777777" w:rsidTr="000F5EF2">
        <w:tc>
          <w:tcPr>
            <w:tcW w:w="3667" w:type="dxa"/>
            <w:vAlign w:val="center"/>
          </w:tcPr>
          <w:p w14:paraId="1801315E" w14:textId="4EB81234" w:rsidR="004417A8" w:rsidRDefault="004417A8" w:rsidP="004417A8">
            <w:r w:rsidRPr="004D3C21">
              <w:rPr>
                <w:bCs/>
              </w:rPr>
              <w:t>Ingredients</w:t>
            </w:r>
          </w:p>
        </w:tc>
        <w:tc>
          <w:tcPr>
            <w:tcW w:w="3667" w:type="dxa"/>
            <w:vAlign w:val="center"/>
          </w:tcPr>
          <w:p w14:paraId="00CF90C9" w14:textId="069F249E" w:rsidR="004417A8" w:rsidRDefault="004417A8" w:rsidP="000F5EF2">
            <w:pPr>
              <w:jc w:val="center"/>
            </w:pPr>
            <w:r w:rsidRPr="004D3C21">
              <w:rPr>
                <w:bCs/>
              </w:rPr>
              <w:t>% Weight</w:t>
            </w:r>
          </w:p>
        </w:tc>
      </w:tr>
      <w:tr w:rsidR="004417A8" w14:paraId="147930D2" w14:textId="77777777" w:rsidTr="000F5EF2">
        <w:tc>
          <w:tcPr>
            <w:tcW w:w="3667" w:type="dxa"/>
            <w:vAlign w:val="center"/>
          </w:tcPr>
          <w:p w14:paraId="22F1AD08" w14:textId="224C7F11" w:rsidR="004417A8" w:rsidRDefault="004417A8" w:rsidP="004417A8">
            <w:r w:rsidRPr="00D76C7E">
              <w:rPr>
                <w:bCs/>
              </w:rPr>
              <w:t>Acrylic Emulsion (60% Non volatile)</w:t>
            </w:r>
          </w:p>
        </w:tc>
        <w:tc>
          <w:tcPr>
            <w:tcW w:w="3667" w:type="dxa"/>
            <w:vAlign w:val="center"/>
          </w:tcPr>
          <w:p w14:paraId="2C87C860" w14:textId="6BB37575" w:rsidR="004417A8" w:rsidRDefault="004417A8" w:rsidP="000F5EF2">
            <w:pPr>
              <w:jc w:val="center"/>
            </w:pPr>
            <w:r w:rsidRPr="00D76C7E">
              <w:rPr>
                <w:bCs/>
              </w:rPr>
              <w:t>25.89</w:t>
            </w:r>
          </w:p>
        </w:tc>
      </w:tr>
      <w:tr w:rsidR="004417A8" w14:paraId="5126F550" w14:textId="77777777" w:rsidTr="000F5EF2">
        <w:tc>
          <w:tcPr>
            <w:tcW w:w="3667" w:type="dxa"/>
            <w:vAlign w:val="center"/>
          </w:tcPr>
          <w:p w14:paraId="69D4CDB2" w14:textId="5EADF1E1" w:rsidR="004417A8" w:rsidRDefault="004417A8" w:rsidP="004417A8">
            <w:r w:rsidRPr="00D76C7E">
              <w:rPr>
                <w:bCs/>
              </w:rPr>
              <w:t>Pigment</w:t>
            </w:r>
          </w:p>
        </w:tc>
        <w:tc>
          <w:tcPr>
            <w:tcW w:w="3667" w:type="dxa"/>
            <w:vAlign w:val="center"/>
          </w:tcPr>
          <w:p w14:paraId="23E420EC" w14:textId="52251FA0" w:rsidR="004417A8" w:rsidRDefault="004417A8" w:rsidP="000F5EF2">
            <w:pPr>
              <w:jc w:val="center"/>
            </w:pPr>
            <w:r w:rsidRPr="00662E64">
              <w:rPr>
                <w:bCs/>
              </w:rPr>
              <w:t>14.90</w:t>
            </w:r>
          </w:p>
        </w:tc>
      </w:tr>
      <w:tr w:rsidR="004417A8" w14:paraId="0F0384F1" w14:textId="77777777" w:rsidTr="000F5EF2">
        <w:tc>
          <w:tcPr>
            <w:tcW w:w="3667" w:type="dxa"/>
            <w:vAlign w:val="center"/>
          </w:tcPr>
          <w:p w14:paraId="1C65E166" w14:textId="753B23A0" w:rsidR="004417A8" w:rsidRDefault="004417A8" w:rsidP="004417A8">
            <w:r w:rsidRPr="00D76C7E">
              <w:rPr>
                <w:bCs/>
              </w:rPr>
              <w:t>Mineral Inert Fillers</w:t>
            </w:r>
          </w:p>
        </w:tc>
        <w:tc>
          <w:tcPr>
            <w:tcW w:w="3667" w:type="dxa"/>
            <w:vAlign w:val="center"/>
          </w:tcPr>
          <w:p w14:paraId="0B84BB8F" w14:textId="78D29D8B" w:rsidR="004417A8" w:rsidRDefault="004417A8" w:rsidP="000F5EF2">
            <w:pPr>
              <w:jc w:val="center"/>
            </w:pPr>
            <w:r w:rsidRPr="00662E64">
              <w:rPr>
                <w:bCs/>
              </w:rPr>
              <w:t>13.12</w:t>
            </w:r>
          </w:p>
        </w:tc>
      </w:tr>
      <w:tr w:rsidR="004417A8" w14:paraId="5DF910C3" w14:textId="77777777" w:rsidTr="000F5EF2"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14:paraId="175B4401" w14:textId="42F2D768" w:rsidR="004417A8" w:rsidRDefault="004417A8" w:rsidP="004417A8">
            <w:r w:rsidRPr="00D76C7E">
              <w:rPr>
                <w:bCs/>
              </w:rPr>
              <w:t>Miscellaneous Additives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14:paraId="234C8D3E" w14:textId="793E78A2" w:rsidR="004417A8" w:rsidRDefault="004417A8" w:rsidP="000F5EF2">
            <w:pPr>
              <w:jc w:val="center"/>
            </w:pPr>
            <w:r w:rsidRPr="00662E64">
              <w:rPr>
                <w:bCs/>
              </w:rPr>
              <w:t>4.73</w:t>
            </w:r>
          </w:p>
        </w:tc>
      </w:tr>
      <w:tr w:rsidR="004417A8" w14:paraId="78972065" w14:textId="77777777" w:rsidTr="000F5EF2">
        <w:tc>
          <w:tcPr>
            <w:tcW w:w="36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DD568F" w14:textId="6CA6E678" w:rsidR="004417A8" w:rsidRDefault="004417A8" w:rsidP="004417A8">
            <w:r w:rsidRPr="00D76C7E">
              <w:rPr>
                <w:bCs/>
              </w:rPr>
              <w:t>Water</w:t>
            </w:r>
          </w:p>
        </w:tc>
        <w:tc>
          <w:tcPr>
            <w:tcW w:w="36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74E772E" w14:textId="59E4811A" w:rsidR="004417A8" w:rsidRDefault="004417A8" w:rsidP="000F5EF2">
            <w:pPr>
              <w:jc w:val="center"/>
            </w:pPr>
            <w:r w:rsidRPr="00662E64">
              <w:rPr>
                <w:bCs/>
              </w:rPr>
              <w:t>41.36</w:t>
            </w:r>
          </w:p>
        </w:tc>
      </w:tr>
    </w:tbl>
    <w:p w14:paraId="0CC08F60" w14:textId="6715D780" w:rsidR="004417A8" w:rsidRPr="009E58E6" w:rsidRDefault="004417A8" w:rsidP="000F5EF2">
      <w:pPr>
        <w:pStyle w:val="PR2"/>
        <w:contextualSpacing w:val="0"/>
      </w:pPr>
      <w:r w:rsidRPr="009E58E6">
        <w:t>Drying Time:  30 to 60 minutes.  The paint must dry to an adherent film with no appreciable discoloration in sunlight or with age.</w:t>
      </w:r>
    </w:p>
    <w:p w14:paraId="56BF15F4" w14:textId="35AFCE83" w:rsidR="004417A8" w:rsidRPr="009E58E6" w:rsidRDefault="004417A8" w:rsidP="000F5EF2">
      <w:pPr>
        <w:pStyle w:val="PR2"/>
        <w:spacing w:before="0"/>
        <w:contextualSpacing w:val="0"/>
      </w:pPr>
      <w:r w:rsidRPr="009E58E6">
        <w:t>Flammability:  Non-Flammable.</w:t>
      </w:r>
    </w:p>
    <w:p w14:paraId="2C20764E" w14:textId="338AFF14" w:rsidR="004417A8" w:rsidRPr="009E58E6" w:rsidRDefault="004417A8" w:rsidP="000F5EF2">
      <w:pPr>
        <w:pStyle w:val="PR2"/>
        <w:spacing w:before="0"/>
        <w:contextualSpacing w:val="0"/>
      </w:pPr>
      <w:r w:rsidRPr="009E58E6">
        <w:t>Storage Life:  One year minimum.</w:t>
      </w:r>
    </w:p>
    <w:p w14:paraId="3B067B32" w14:textId="228A7CAE" w:rsidR="004417A8" w:rsidRPr="009E58E6" w:rsidRDefault="004417A8" w:rsidP="000F5EF2">
      <w:pPr>
        <w:pStyle w:val="PR2"/>
        <w:spacing w:before="0"/>
        <w:contextualSpacing w:val="0"/>
      </w:pPr>
      <w:r w:rsidRPr="009E58E6">
        <w:t>Coverage:  500 linear feet of 2-inch line per gallon minimum.</w:t>
      </w:r>
    </w:p>
    <w:p w14:paraId="02B10F19" w14:textId="35DDE053" w:rsidR="004417A8" w:rsidRPr="009E58E6" w:rsidRDefault="004417A8" w:rsidP="000F5EF2">
      <w:pPr>
        <w:pStyle w:val="PR2"/>
        <w:spacing w:before="0"/>
        <w:contextualSpacing w:val="0"/>
      </w:pPr>
      <w:r w:rsidRPr="009E58E6">
        <w:t xml:space="preserve">Color:  Furnish paint in colors as directed by the Facility Athletic Director.  </w:t>
      </w:r>
    </w:p>
    <w:p w14:paraId="67201385" w14:textId="77777777" w:rsidR="004417A8" w:rsidRDefault="004417A8" w:rsidP="005C1557">
      <w:pPr>
        <w:pStyle w:val="PRT"/>
        <w:rPr>
          <w:bCs/>
        </w:rPr>
      </w:pPr>
      <w:r>
        <w:rPr>
          <w:bCs/>
        </w:rPr>
        <w:t>EXECUTION</w:t>
      </w:r>
    </w:p>
    <w:p w14:paraId="5499C1A9" w14:textId="77777777" w:rsidR="004417A8" w:rsidRDefault="004417A8" w:rsidP="000F5EF2">
      <w:pPr>
        <w:pStyle w:val="ART"/>
        <w:spacing w:before="240"/>
      </w:pPr>
      <w:r w:rsidRPr="005C1557">
        <w:t>PREPARATION</w:t>
      </w:r>
    </w:p>
    <w:p w14:paraId="29A76343" w14:textId="77777777" w:rsidR="004417A8" w:rsidRDefault="004417A8" w:rsidP="00D76C7E">
      <w:pPr>
        <w:pStyle w:val="PR1"/>
      </w:pPr>
      <w:r w:rsidRPr="00D76C7E">
        <w:t>Allow color coat to cure adequately per manufacturer’s instructions before applying game lines.</w:t>
      </w:r>
    </w:p>
    <w:p w14:paraId="1597C647" w14:textId="77777777" w:rsidR="004417A8" w:rsidRPr="00662E64" w:rsidRDefault="004417A8" w:rsidP="00D76C7E">
      <w:pPr>
        <w:pStyle w:val="PR1"/>
      </w:pPr>
      <w:r w:rsidRPr="00662E64">
        <w:rPr>
          <w:bCs/>
        </w:rPr>
        <w:t>Clean pavement surface of all dust, dirt, debris and loose material.</w:t>
      </w:r>
    </w:p>
    <w:p w14:paraId="7A9E4976" w14:textId="77777777" w:rsidR="004417A8" w:rsidRPr="00662E64" w:rsidRDefault="004417A8" w:rsidP="00D76C7E">
      <w:pPr>
        <w:pStyle w:val="PR1"/>
      </w:pPr>
      <w:r w:rsidRPr="00662E64">
        <w:rPr>
          <w:bCs/>
        </w:rPr>
        <w:t>Perform all Work necessary to compute, design and layout require lines.</w:t>
      </w:r>
    </w:p>
    <w:p w14:paraId="2575327F" w14:textId="77777777" w:rsidR="004417A8" w:rsidRDefault="004417A8" w:rsidP="000F5EF2">
      <w:pPr>
        <w:pStyle w:val="ART"/>
        <w:spacing w:before="240"/>
      </w:pPr>
      <w:r w:rsidRPr="00D76C7E">
        <w:t>APPLICATION</w:t>
      </w:r>
    </w:p>
    <w:p w14:paraId="1C1F0B14" w14:textId="77777777" w:rsidR="004417A8" w:rsidRDefault="004417A8" w:rsidP="00D76C7E">
      <w:pPr>
        <w:pStyle w:val="PR1"/>
      </w:pPr>
      <w:r w:rsidRPr="00D76C7E">
        <w:t>Do not add water to paint during application when using roller or brush.</w:t>
      </w:r>
    </w:p>
    <w:p w14:paraId="6DF8C90B" w14:textId="77777777" w:rsidR="004417A8" w:rsidRPr="00662E64" w:rsidRDefault="004417A8" w:rsidP="00D76C7E">
      <w:pPr>
        <w:pStyle w:val="PR1"/>
      </w:pPr>
      <w:r w:rsidRPr="00662E64">
        <w:rPr>
          <w:bCs/>
        </w:rPr>
        <w:t>Apply paint in a neat and accurate manner, either by hand or approved mechanical means.  Ragged or crooked lines will not be accepted.</w:t>
      </w:r>
    </w:p>
    <w:p w14:paraId="7C458F79" w14:textId="77777777" w:rsidR="004417A8" w:rsidRPr="00662E64" w:rsidRDefault="004417A8" w:rsidP="005C1557">
      <w:pPr>
        <w:pStyle w:val="PR1"/>
      </w:pPr>
      <w:r w:rsidRPr="00662E64">
        <w:rPr>
          <w:bCs/>
        </w:rPr>
        <w:t>The width of all lines shall be as indicated on the Drawings and as directed.</w:t>
      </w:r>
    </w:p>
    <w:p w14:paraId="139E0521" w14:textId="77777777" w:rsidR="004417A8" w:rsidRDefault="004417A8" w:rsidP="000F5EF2">
      <w:pPr>
        <w:pStyle w:val="ART"/>
        <w:spacing w:before="240"/>
      </w:pPr>
      <w:r w:rsidRPr="00D76C7E">
        <w:t>PAINTING SCHEDULE</w:t>
      </w:r>
    </w:p>
    <w:p w14:paraId="30377351" w14:textId="77777777" w:rsidR="004417A8" w:rsidRPr="00D76C7E" w:rsidRDefault="004417A8" w:rsidP="000F5EF2">
      <w:pPr>
        <w:pStyle w:val="PR1"/>
      </w:pPr>
      <w:r w:rsidRPr="00D76C7E">
        <w:t xml:space="preserve">Paint lines and symbols for the following athletic track events as shown on the Drawings and as directed by the Facility Athletic Director.  </w:t>
      </w:r>
    </w:p>
    <w:p w14:paraId="5C93FD57" w14:textId="70A564E8" w:rsidR="004417A8" w:rsidRDefault="004417A8">
      <w:pPr>
        <w:pStyle w:val="EOS"/>
      </w:pPr>
      <w:r w:rsidRPr="000F5EF2">
        <w:rPr>
          <w:bCs/>
        </w:rPr>
        <w:t>END OF SECTION</w:t>
      </w:r>
      <w:r>
        <w:rPr>
          <w:bCs/>
        </w:rPr>
        <w:t xml:space="preserve"> 321724</w:t>
      </w:r>
    </w:p>
    <w:sectPr w:rsidR="004417A8" w:rsidSect="00885A57">
      <w:footerReference w:type="default" r:id="rId12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77EF9A16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Fonts w:eastAsia="Calibri"/>
        <w:b/>
        <w:bCs/>
        <w:sz w:val="18"/>
        <w:szCs w:val="18"/>
      </w:rPr>
      <w:fldChar w:fldCharType="begin"/>
    </w:r>
    <w:r w:rsidRPr="00885A57">
      <w:rPr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Fonts w:eastAsia="Calibri"/>
        <w:b/>
        <w:bCs/>
        <w:sz w:val="18"/>
        <w:szCs w:val="18"/>
      </w:rPr>
      <w:fldChar w:fldCharType="separate"/>
    </w:r>
    <w:r w:rsidR="005F04FC">
      <w:rPr>
        <w:rFonts w:eastAsia="Calibri"/>
        <w:b/>
        <w:bCs/>
        <w:noProof/>
        <w:sz w:val="18"/>
        <w:szCs w:val="18"/>
      </w:rPr>
      <w:t>7/11/2024</w:t>
    </w:r>
    <w:r w:rsidRPr="00885A57">
      <w:rPr>
        <w:rFonts w:eastAsia="Calibri"/>
        <w:b/>
        <w:bCs/>
        <w:sz w:val="18"/>
        <w:szCs w:val="18"/>
      </w:rPr>
      <w:fldChar w:fldCharType="end"/>
    </w:r>
    <w:r>
      <w:rPr>
        <w:rFonts w:eastAsia="Calibri"/>
        <w:b/>
        <w:bCs/>
        <w:sz w:val="18"/>
        <w:szCs w:val="18"/>
      </w:rPr>
      <w:tab/>
    </w:r>
    <w:r w:rsidR="004417A8">
      <w:rPr>
        <w:rFonts w:eastAsia="Calibri"/>
        <w:szCs w:val="22"/>
      </w:rPr>
      <w:t>321724</w:t>
    </w:r>
    <w:r w:rsidRPr="00885A57">
      <w:rPr>
        <w:rFonts w:eastAsia="Calibri"/>
        <w:szCs w:val="22"/>
      </w:rPr>
      <w:t>-</w:t>
    </w:r>
    <w:r w:rsidRPr="00885A57">
      <w:rPr>
        <w:rFonts w:eastAsia="Calibri"/>
        <w:szCs w:val="22"/>
      </w:rPr>
      <w:fldChar w:fldCharType="begin"/>
    </w:r>
    <w:r w:rsidRPr="00885A57">
      <w:rPr>
        <w:rFonts w:eastAsia="Calibri"/>
        <w:szCs w:val="22"/>
      </w:rPr>
      <w:instrText xml:space="preserve"> PAGE   \* MERGEFORMAT </w:instrText>
    </w:r>
    <w:r w:rsidRPr="00885A57">
      <w:rPr>
        <w:rFonts w:eastAsia="Calibri"/>
        <w:szCs w:val="22"/>
      </w:rPr>
      <w:fldChar w:fldCharType="separate"/>
    </w:r>
    <w:r w:rsidRPr="00885A57">
      <w:rPr>
        <w:rFonts w:eastAsia="Calibri"/>
        <w:noProof/>
        <w:szCs w:val="22"/>
      </w:rPr>
      <w:t>1</w:t>
    </w:r>
    <w:r w:rsidRPr="00885A57">
      <w:rPr>
        <w:rFonts w:eastAsia="Calibri"/>
        <w:noProof/>
        <w:szCs w:val="22"/>
      </w:rPr>
      <w:fldChar w:fldCharType="end"/>
    </w:r>
    <w:r>
      <w:rPr>
        <w:rFonts w:eastAsia="Calibri"/>
        <w:b/>
        <w:bCs/>
        <w:noProof/>
        <w:sz w:val="18"/>
        <w:szCs w:val="18"/>
      </w:rPr>
      <w:tab/>
    </w:r>
    <w:r w:rsidRPr="00885A57">
      <w:rPr>
        <w:rFonts w:eastAsia="Calibri"/>
        <w:noProof/>
        <w:szCs w:val="22"/>
      </w:rPr>
      <w:t>Project No.</w:t>
    </w:r>
    <w:r w:rsidRPr="00885A57">
      <w:rPr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4907D4"/>
    <w:multiLevelType w:val="multilevel"/>
    <w:tmpl w:val="242E6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3" w15:restartNumberingAfterBreak="0">
    <w:nsid w:val="19BE4B15"/>
    <w:multiLevelType w:val="hybridMultilevel"/>
    <w:tmpl w:val="9440F0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7" w15:restartNumberingAfterBreak="0">
    <w:nsid w:val="46433E90"/>
    <w:multiLevelType w:val="hybridMultilevel"/>
    <w:tmpl w:val="9A9023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5"/>
  </w:num>
  <w:num w:numId="5" w16cid:durableId="1857226179">
    <w:abstractNumId w:val="2"/>
  </w:num>
  <w:num w:numId="6" w16cid:durableId="865364011">
    <w:abstractNumId w:val="8"/>
  </w:num>
  <w:num w:numId="7" w16cid:durableId="1590696466">
    <w:abstractNumId w:val="6"/>
  </w:num>
  <w:num w:numId="8" w16cid:durableId="1372001518">
    <w:abstractNumId w:val="4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691339940">
    <w:abstractNumId w:val="7"/>
  </w:num>
  <w:num w:numId="12" w16cid:durableId="1963149126">
    <w:abstractNumId w:val="3"/>
  </w:num>
  <w:num w:numId="13" w16cid:durableId="1084956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0F5EF2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417A8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4FC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4417A8"/>
    <w:pPr>
      <w:keepNext/>
      <w:overflowPunct w:val="0"/>
      <w:autoSpaceDE w:val="0"/>
      <w:autoSpaceDN w:val="0"/>
      <w:adjustRightInd w:val="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table" w:styleId="TableGrid">
    <w:name w:val="Table Grid"/>
    <w:basedOn w:val="TableNormal"/>
    <w:uiPriority w:val="59"/>
    <w:rsid w:val="00441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character" w:customStyle="1" w:styleId="Heading1Char">
    <w:name w:val="Heading 1 Char"/>
    <w:basedOn w:val="DefaultParagraphFont"/>
    <w:link w:val="Heading1"/>
    <w:rsid w:val="004417A8"/>
    <w:rPr>
      <w:b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4417A8"/>
    <w:pPr>
      <w:overflowPunct w:val="0"/>
      <w:autoSpaceDE w:val="0"/>
      <w:autoSpaceDN w:val="0"/>
      <w:adjustRightInd w:val="0"/>
      <w:spacing w:before="240"/>
      <w:ind w:left="720"/>
      <w:contextualSpacing/>
      <w:textAlignment w:val="baseline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417A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horworks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4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2616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39</cp:revision>
  <cp:lastPrinted>2020-10-05T11:54:00Z</cp:lastPrinted>
  <dcterms:created xsi:type="dcterms:W3CDTF">2023-04-28T20:15:00Z</dcterms:created>
  <dcterms:modified xsi:type="dcterms:W3CDTF">2024-07-11T20:37:00Z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