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04AB8" w14:textId="4B82C059" w:rsidR="00F24F88" w:rsidRPr="00E57194" w:rsidRDefault="00F24F88" w:rsidP="00E57194">
      <w:pPr>
        <w:rPr>
          <w:rFonts w:asciiTheme="minorHAnsi" w:eastAsiaTheme="minorHAnsi" w:hAnsiTheme="minorHAnsi" w:cstheme="minorBidi"/>
          <w:sz w:val="24"/>
          <w:szCs w:val="24"/>
        </w:rPr>
      </w:pPr>
      <w:r w:rsidRPr="00E57194">
        <w:rPr>
          <w:rFonts w:eastAsiaTheme="minorHAnsi"/>
          <w:szCs w:val="22"/>
        </w:rPr>
        <w:t xml:space="preserve">SECTION </w:t>
      </w:r>
      <w:r w:rsidRPr="00E57194">
        <w:rPr>
          <w:rStyle w:val="NUM"/>
          <w:rFonts w:eastAsiaTheme="minorHAnsi"/>
          <w:szCs w:val="22"/>
        </w:rPr>
        <w:t>321723</w:t>
      </w:r>
      <w:r w:rsidRPr="00E57194">
        <w:rPr>
          <w:rFonts w:eastAsiaTheme="minorHAnsi"/>
          <w:szCs w:val="22"/>
        </w:rPr>
        <w:t xml:space="preserve"> - PAVEMENT MARKINGS</w:t>
      </w:r>
    </w:p>
    <w:p w14:paraId="1D6C8F95" w14:textId="3E18F7A3" w:rsidR="00F24F88" w:rsidRDefault="00F24F88" w:rsidP="00E57194">
      <w:pPr>
        <w:pStyle w:val="PRT"/>
      </w:pPr>
      <w:r>
        <w:t>GENERAL</w:t>
      </w:r>
    </w:p>
    <w:p w14:paraId="68CD0BC3" w14:textId="77777777" w:rsidR="00F24F88" w:rsidRDefault="00F24F88" w:rsidP="00A47E6A">
      <w:pPr>
        <w:pStyle w:val="ART"/>
      </w:pPr>
      <w:r>
        <w:t>SUMMARY</w:t>
      </w:r>
    </w:p>
    <w:p w14:paraId="1D49205E" w14:textId="77777777" w:rsidR="00F24F88" w:rsidRDefault="00F24F88" w:rsidP="00A47E6A">
      <w:pPr>
        <w:pStyle w:val="PR1"/>
      </w:pPr>
      <w:r>
        <w:t>Section Includes:</w:t>
      </w:r>
    </w:p>
    <w:p w14:paraId="196B788A" w14:textId="77777777" w:rsidR="00F24F88" w:rsidRDefault="00F24F88" w:rsidP="00A47E6A">
      <w:pPr>
        <w:pStyle w:val="PR2"/>
        <w:contextualSpacing w:val="0"/>
      </w:pPr>
      <w:r>
        <w:t>Painted markings applied to asphalt paving.</w:t>
      </w:r>
    </w:p>
    <w:p w14:paraId="7A63B79B" w14:textId="0D0D277B" w:rsidR="00F24F88" w:rsidRDefault="00F24F88" w:rsidP="00F24F88">
      <w:pPr>
        <w:pStyle w:val="PR2"/>
        <w:spacing w:before="0"/>
        <w:contextualSpacing w:val="0"/>
      </w:pPr>
      <w:r>
        <w:t>Painted markings applied to concrete surfaces.</w:t>
      </w:r>
    </w:p>
    <w:p w14:paraId="5E87A33A" w14:textId="77777777" w:rsidR="00F24F88" w:rsidRDefault="00F24F88" w:rsidP="00A47E6A">
      <w:pPr>
        <w:pStyle w:val="ART"/>
        <w:tabs>
          <w:tab w:val="left" w:pos="1044"/>
        </w:tabs>
        <w:ind w:left="1044"/>
      </w:pPr>
      <w:r>
        <w:t>REFERENCES</w:t>
      </w:r>
    </w:p>
    <w:p w14:paraId="148DD3E5" w14:textId="77777777" w:rsidR="00F24F88" w:rsidRDefault="00F24F88" w:rsidP="00A47E6A">
      <w:pPr>
        <w:pStyle w:val="PR1"/>
      </w:pPr>
      <w:r>
        <w:t xml:space="preserve">United States Department of Justice (US DOJ) </w:t>
      </w:r>
    </w:p>
    <w:p w14:paraId="2006BA48" w14:textId="77777777" w:rsidR="00F24F88" w:rsidRDefault="00F24F88" w:rsidP="00E57194">
      <w:pPr>
        <w:pStyle w:val="PR2"/>
        <w:contextualSpacing w:val="0"/>
      </w:pPr>
      <w:r>
        <w:t>Americans with Disabilities Act (ADA), Standards for Accessible Design</w:t>
      </w:r>
    </w:p>
    <w:p w14:paraId="3D251793" w14:textId="256CCE76" w:rsidR="00F24F88" w:rsidRDefault="00F24F88" w:rsidP="00A47E6A">
      <w:pPr>
        <w:pStyle w:val="PR1"/>
      </w:pPr>
      <w:r>
        <w:t>Building Code of New York State Chapter 11 - Accessibility</w:t>
      </w:r>
    </w:p>
    <w:p w14:paraId="53063DD0" w14:textId="77777777" w:rsidR="00F24F88" w:rsidRDefault="00F24F88" w:rsidP="00A47E6A">
      <w:pPr>
        <w:pStyle w:val="PR1"/>
      </w:pPr>
      <w:r>
        <w:t>New York State Department of Transportation (NYS DOT)</w:t>
      </w:r>
    </w:p>
    <w:p w14:paraId="317E457B" w14:textId="77777777" w:rsidR="00F24F88" w:rsidRDefault="00F24F88" w:rsidP="00E57194">
      <w:pPr>
        <w:pStyle w:val="PR2"/>
        <w:contextualSpacing w:val="0"/>
      </w:pPr>
      <w:r>
        <w:t>DOT 640 – Reflectorized Pavement Marking Paints</w:t>
      </w:r>
    </w:p>
    <w:p w14:paraId="2D544EF8" w14:textId="552B88C8" w:rsidR="00F24F88" w:rsidRDefault="00F24F88" w:rsidP="00A47E6A">
      <w:pPr>
        <w:pStyle w:val="ART"/>
      </w:pPr>
      <w:r>
        <w:t>SUBMITTALS</w:t>
      </w:r>
    </w:p>
    <w:p w14:paraId="16664841" w14:textId="77777777" w:rsidR="00F24F88" w:rsidRDefault="00F24F88" w:rsidP="00435625">
      <w:pPr>
        <w:pStyle w:val="PR1"/>
      </w:pPr>
      <w:r>
        <w:t>Submittals for this section are subject to the re-evaluation fee identified in Article 4 of the General Conditions.</w:t>
      </w:r>
    </w:p>
    <w:p w14:paraId="6CEE9604" w14:textId="77777777" w:rsidR="00F24F88" w:rsidRDefault="00F24F88" w:rsidP="00435625">
      <w:pPr>
        <w:pStyle w:val="PR1"/>
      </w:pPr>
      <w:r>
        <w:t>Manufacturer’s installation instructions shall be provided along with product data.</w:t>
      </w:r>
    </w:p>
    <w:p w14:paraId="17FDFE55" w14:textId="77777777" w:rsidR="00F24F88" w:rsidRDefault="00F24F88" w:rsidP="00435625">
      <w:pPr>
        <w:pStyle w:val="PR1"/>
      </w:pPr>
      <w:r>
        <w:t>Submittals shall be provided in the order in which they are specified and tabbed (for combined submittals).</w:t>
      </w:r>
    </w:p>
    <w:p w14:paraId="192F389C" w14:textId="77777777" w:rsidR="00F24F88" w:rsidRDefault="00F24F88" w:rsidP="00A47E6A">
      <w:pPr>
        <w:pStyle w:val="PR1"/>
      </w:pPr>
      <w:r>
        <w:t>Product Data: Include technical data and tested physical and performance properties.</w:t>
      </w:r>
    </w:p>
    <w:p w14:paraId="5EF4B266" w14:textId="3B255961" w:rsidR="00F24F88" w:rsidRPr="00F24F88" w:rsidRDefault="00F24F88" w:rsidP="00E57194">
      <w:pPr>
        <w:pStyle w:val="SpecifierNote"/>
      </w:pPr>
      <w:r w:rsidRPr="00E57194">
        <w:t>Retain "</w:t>
      </w:r>
      <w:r>
        <w:t>S</w:t>
      </w:r>
      <w:r w:rsidRPr="00E57194">
        <w:t xml:space="preserve">amples" </w:t>
      </w:r>
      <w:r>
        <w:t>Paragraph</w:t>
      </w:r>
      <w:r w:rsidRPr="00E57194">
        <w:t xml:space="preserve"> below for single-stage samples, with a subordinate list if applicable.</w:t>
      </w:r>
    </w:p>
    <w:p w14:paraId="6C6CE997" w14:textId="77777777" w:rsidR="00F24F88" w:rsidRDefault="00F24F88" w:rsidP="00A47E6A">
      <w:pPr>
        <w:pStyle w:val="PR1"/>
      </w:pPr>
      <w:r>
        <w:t xml:space="preserve">Samples: </w:t>
      </w:r>
    </w:p>
    <w:p w14:paraId="294A2D55" w14:textId="6E1BB02D" w:rsidR="00F24F88" w:rsidRDefault="00F24F88" w:rsidP="00E57194">
      <w:pPr>
        <w:pStyle w:val="PR2"/>
        <w:contextualSpacing w:val="0"/>
      </w:pPr>
      <w:r>
        <w:t xml:space="preserve">For each exposed product and for each color and texture specified; on rigid backing, </w:t>
      </w:r>
      <w:r>
        <w:rPr>
          <w:rStyle w:val="IP"/>
        </w:rPr>
        <w:t>8 inches</w:t>
      </w:r>
      <w:r>
        <w:t xml:space="preserve"> square.</w:t>
      </w:r>
    </w:p>
    <w:p w14:paraId="1DB9E9E0" w14:textId="77777777" w:rsidR="00F24F88" w:rsidRDefault="00F24F88" w:rsidP="00D32F9F">
      <w:pPr>
        <w:pStyle w:val="PR1"/>
      </w:pPr>
      <w:r>
        <w:t>Quality Assurance:</w:t>
      </w:r>
    </w:p>
    <w:p w14:paraId="089986D2" w14:textId="08FF270D" w:rsidR="00F24F88" w:rsidRPr="00E57194" w:rsidRDefault="00F24F88" w:rsidP="00E57194">
      <w:pPr>
        <w:pStyle w:val="PR2"/>
        <w:contextualSpacing w:val="0"/>
      </w:pPr>
      <w:r>
        <w:t>Certification:  Affidavit by the paint applicator, certifying that the materials comply with the current regulatory requirements in effect at the time products were delivered and applied.</w:t>
      </w:r>
    </w:p>
    <w:p w14:paraId="19A0166E" w14:textId="77777777" w:rsidR="00F24F88" w:rsidRDefault="00F24F88" w:rsidP="00A47E6A">
      <w:pPr>
        <w:pStyle w:val="ART"/>
      </w:pPr>
      <w:r>
        <w:lastRenderedPageBreak/>
        <w:t>QUALITY ASSURANCE</w:t>
      </w:r>
    </w:p>
    <w:p w14:paraId="2D8949C3" w14:textId="00C2C538" w:rsidR="00F24F88" w:rsidRPr="00F24F88" w:rsidRDefault="00F24F88" w:rsidP="00E57194">
      <w:pPr>
        <w:pStyle w:val="SpecifierNote"/>
      </w:pPr>
      <w:r w:rsidRPr="00E57194">
        <w:t>Retain "</w:t>
      </w:r>
      <w:r w:rsidRPr="005B0338">
        <w:t>Regulatory Requirements</w:t>
      </w:r>
      <w:r w:rsidRPr="00E57194">
        <w:t xml:space="preserve">" </w:t>
      </w:r>
      <w:r>
        <w:t>Paragraph</w:t>
      </w:r>
      <w:r w:rsidRPr="00E57194">
        <w:t xml:space="preserve"> below if pavement-marking work is located on public property and must comply with requirements of </w:t>
      </w:r>
      <w:r>
        <w:t>S</w:t>
      </w:r>
      <w:r w:rsidRPr="00E57194">
        <w:t xml:space="preserve">tate or </w:t>
      </w:r>
      <w:r>
        <w:t>L</w:t>
      </w:r>
      <w:r w:rsidRPr="00E57194">
        <w:t xml:space="preserve">ocal </w:t>
      </w:r>
      <w:r w:rsidRPr="007161B6">
        <w:t>DOT</w:t>
      </w:r>
      <w:r w:rsidRPr="00E57194">
        <w:t>.</w:t>
      </w:r>
    </w:p>
    <w:p w14:paraId="06DF827A" w14:textId="15561A82" w:rsidR="00F24F88" w:rsidRDefault="00F24F88" w:rsidP="00A47E6A">
      <w:pPr>
        <w:pStyle w:val="PR1"/>
      </w:pPr>
      <w:r>
        <w:t>Regulatory Requirements: Comply with materials, workmanship, and other applicable requirements of NYS Department of Transportation Standards and Specifications for pavement-marking work.</w:t>
      </w:r>
    </w:p>
    <w:p w14:paraId="479D447B" w14:textId="77777777" w:rsidR="00F24F88" w:rsidRDefault="00F24F88" w:rsidP="00A47E6A">
      <w:pPr>
        <w:pStyle w:val="PR2"/>
        <w:contextualSpacing w:val="0"/>
      </w:pPr>
      <w:r>
        <w:t>Measurement and payment provisions and safety program submittals included in standard specifications do not apply to this Section.</w:t>
      </w:r>
    </w:p>
    <w:p w14:paraId="2E18789E" w14:textId="77777777" w:rsidR="00F24F88" w:rsidRDefault="00F24F88" w:rsidP="00A47E6A">
      <w:pPr>
        <w:pStyle w:val="ART"/>
      </w:pPr>
      <w:r>
        <w:t>FIELD CONDITIONS</w:t>
      </w:r>
    </w:p>
    <w:p w14:paraId="7BD81066" w14:textId="05ECE57C" w:rsidR="00F24F88" w:rsidRDefault="00F24F88" w:rsidP="00A47E6A">
      <w:pPr>
        <w:pStyle w:val="PR1"/>
      </w:pPr>
      <w:r>
        <w:t xml:space="preserve">Environmental Limitations: Proceed with pavement marking only on clean, dry surfaces and at a minimum ambient or surface temperature of </w:t>
      </w:r>
      <w:r w:rsidRPr="00E57194">
        <w:rPr>
          <w:rStyle w:val="IP"/>
        </w:rPr>
        <w:t>40 deg F</w:t>
      </w:r>
      <w:r>
        <w:t>.</w:t>
      </w:r>
    </w:p>
    <w:p w14:paraId="2AFA1271" w14:textId="00086953" w:rsidR="00F24F88" w:rsidRDefault="00F24F88" w:rsidP="00E57194">
      <w:pPr>
        <w:pStyle w:val="SpecifierNote"/>
      </w:pPr>
      <w:r>
        <w:t xml:space="preserve">The subparagraph below should typically be deleted. Consult with Project Manager if area to be painted would not otherwise be closed to traffic and if it would be desirable to perform painting operations after work hours. </w:t>
      </w:r>
    </w:p>
    <w:p w14:paraId="56A2366A" w14:textId="77777777" w:rsidR="00F24F88" w:rsidRDefault="00F24F88" w:rsidP="00A47E6A">
      <w:pPr>
        <w:pStyle w:val="PR1"/>
      </w:pPr>
      <w:r w:rsidRPr="00A47E6A">
        <w:t>Perform the painting operations after working hours, on weekends or at such time so as not to interfere with the flow of traffic.  Provide temporary barriers to prevent vehicles from driving over newly painted areas.</w:t>
      </w:r>
    </w:p>
    <w:p w14:paraId="280E77A5" w14:textId="77777777" w:rsidR="00F24F88" w:rsidRDefault="00F24F88" w:rsidP="00A47E6A">
      <w:pPr>
        <w:pStyle w:val="PRT"/>
      </w:pPr>
      <w:r>
        <w:t>PRODUCTS</w:t>
      </w:r>
    </w:p>
    <w:p w14:paraId="74BFED00" w14:textId="485A6D08" w:rsidR="00F24F88" w:rsidRDefault="00F24F88" w:rsidP="00A47E6A">
      <w:pPr>
        <w:pStyle w:val="ART"/>
      </w:pPr>
      <w:r>
        <w:t>PAVEMENT MARKINGS</w:t>
      </w:r>
    </w:p>
    <w:p w14:paraId="01F406A0" w14:textId="6A87166B" w:rsidR="00F24F88" w:rsidRPr="00B34C61" w:rsidRDefault="00F24F88" w:rsidP="00E57194">
      <w:pPr>
        <w:pStyle w:val="SpecifierNote"/>
      </w:pPr>
      <w:r>
        <w:t xml:space="preserve">Consider editing the Paragraphs below to include cold-weather pavement marking products. Note that cold-weather pavement markings will not be as durable as warm-weather pavement markings and are not recommended unless Project schedule will not allow warm-weather pavement marking. Consult with Project Manager. </w:t>
      </w:r>
    </w:p>
    <w:p w14:paraId="09AED1B7" w14:textId="77777777" w:rsidR="00F24F88" w:rsidRPr="008150CC" w:rsidRDefault="00F24F88" w:rsidP="00E57194">
      <w:pPr>
        <w:pStyle w:val="PR1"/>
      </w:pPr>
      <w:r w:rsidRPr="008150CC">
        <w:t>Paint:  DOT Section 640-2, yellow or white as indicated, or if not indicated as directed.  Delete reference to Glass Beads.</w:t>
      </w:r>
    </w:p>
    <w:p w14:paraId="77574C62" w14:textId="77777777" w:rsidR="00F24F88" w:rsidRDefault="00F24F88" w:rsidP="00A47E6A">
      <w:pPr>
        <w:pStyle w:val="PR1"/>
      </w:pPr>
      <w:r>
        <w:t>Source Limitations: Obtain pavement-marking paints from single source from single manufacturer.</w:t>
      </w:r>
    </w:p>
    <w:p w14:paraId="6B1A3B3E" w14:textId="77777777" w:rsidR="00F24F88" w:rsidRDefault="00F24F88" w:rsidP="00A47E6A">
      <w:pPr>
        <w:pStyle w:val="ART"/>
      </w:pPr>
      <w:r>
        <w:t>PERFORMANCE REQUIREMENTS</w:t>
      </w:r>
    </w:p>
    <w:p w14:paraId="685FAC3D" w14:textId="77777777" w:rsidR="00F24F88" w:rsidRPr="00F24F88" w:rsidRDefault="00F24F88" w:rsidP="00E57194">
      <w:pPr>
        <w:pStyle w:val="SpecifierNote"/>
      </w:pPr>
      <w:r w:rsidRPr="00E57194">
        <w:t>Retain this article if accessible pavement markings are required.</w:t>
      </w:r>
    </w:p>
    <w:p w14:paraId="395F7D99" w14:textId="3440D7B2" w:rsidR="00F24F88" w:rsidRPr="00F24F88" w:rsidRDefault="00F24F88" w:rsidP="00E57194">
      <w:pPr>
        <w:pStyle w:val="SpecifierNote"/>
      </w:pPr>
      <w:r w:rsidRPr="00E57194">
        <w:t>Generally, retain only one of first two options in "</w:t>
      </w:r>
      <w:r w:rsidRPr="005B0338">
        <w:t>Accessibility Standard</w:t>
      </w:r>
      <w:r w:rsidRPr="00E57194">
        <w:t xml:space="preserve">" </w:t>
      </w:r>
      <w:r>
        <w:t>Paragraph</w:t>
      </w:r>
      <w:r w:rsidRPr="00E57194">
        <w:t xml:space="preserve"> below. Retain first option for facilities covered under the </w:t>
      </w:r>
      <w:r>
        <w:t>A</w:t>
      </w:r>
      <w:r w:rsidRPr="00E57194">
        <w:t xml:space="preserve">mericans with </w:t>
      </w:r>
      <w:r>
        <w:t>D</w:t>
      </w:r>
      <w:r w:rsidRPr="00E57194">
        <w:t xml:space="preserve">isabilities </w:t>
      </w:r>
      <w:r>
        <w:t>A</w:t>
      </w:r>
      <w:r w:rsidRPr="00E57194">
        <w:t>ct (</w:t>
      </w:r>
      <w:r>
        <w:t>ADA</w:t>
      </w:r>
      <w:r w:rsidRPr="00E57194">
        <w:t xml:space="preserve">) of 1990. Retain second for facilities covered under the </w:t>
      </w:r>
      <w:r>
        <w:t>A</w:t>
      </w:r>
      <w:r w:rsidRPr="00E57194">
        <w:t xml:space="preserve">rchitectural </w:t>
      </w:r>
      <w:r>
        <w:t>B</w:t>
      </w:r>
      <w:r w:rsidRPr="00E57194">
        <w:t xml:space="preserve">arriers </w:t>
      </w:r>
      <w:r>
        <w:t>A</w:t>
      </w:r>
      <w:r w:rsidRPr="00E57194">
        <w:t>ct (</w:t>
      </w:r>
      <w:r>
        <w:t>ABA</w:t>
      </w:r>
      <w:r w:rsidRPr="00E57194">
        <w:t>). Retain last option for compliance with the ibc.</w:t>
      </w:r>
    </w:p>
    <w:p w14:paraId="4C033D8E" w14:textId="648A42AC" w:rsidR="00F24F88" w:rsidRDefault="00F24F88" w:rsidP="00E57194">
      <w:pPr>
        <w:pStyle w:val="PR1"/>
      </w:pPr>
      <w:r>
        <w:t xml:space="preserve">Accessibility Standard: Comply with applicable provisions in the latest edition of the Building Code of New York State, Chapter 11. </w:t>
      </w:r>
    </w:p>
    <w:p w14:paraId="3C104213" w14:textId="77777777" w:rsidR="00F24F88" w:rsidRDefault="00F24F88" w:rsidP="00A47E6A">
      <w:pPr>
        <w:pStyle w:val="PRT"/>
      </w:pPr>
      <w:r>
        <w:t>EXECUTION</w:t>
      </w:r>
    </w:p>
    <w:p w14:paraId="56C39E47" w14:textId="77777777" w:rsidR="00F24F88" w:rsidRDefault="00F24F88" w:rsidP="00A47E6A">
      <w:pPr>
        <w:pStyle w:val="ART"/>
      </w:pPr>
      <w:r>
        <w:t>EXAMINATION</w:t>
      </w:r>
    </w:p>
    <w:p w14:paraId="299BFFA8" w14:textId="77777777" w:rsidR="00F24F88" w:rsidRDefault="00F24F88" w:rsidP="00A47E6A">
      <w:pPr>
        <w:pStyle w:val="PR1"/>
      </w:pPr>
      <w:r>
        <w:t>Verify that pavement-marking substrate is dry and in suitable condition to begin pavement marking in accordance with manufacturer's written instructions.</w:t>
      </w:r>
    </w:p>
    <w:p w14:paraId="60AB9F27" w14:textId="77777777" w:rsidR="00F24F88" w:rsidRDefault="00F24F88" w:rsidP="00D63534">
      <w:pPr>
        <w:pStyle w:val="PR1"/>
      </w:pPr>
      <w:r w:rsidRPr="00210877">
        <w:t>Remove dust, dirt, and other foreign material detrimental to paint adhesion.</w:t>
      </w:r>
    </w:p>
    <w:p w14:paraId="3305942E" w14:textId="77777777" w:rsidR="00F24F88" w:rsidRDefault="00F24F88">
      <w:pPr>
        <w:pStyle w:val="PR1"/>
      </w:pPr>
      <w:r>
        <w:t>Mark layout of stripes and lines with chalk or paint.</w:t>
      </w:r>
    </w:p>
    <w:p w14:paraId="78126999" w14:textId="77777777" w:rsidR="00F24F88" w:rsidRDefault="00F24F88" w:rsidP="00A47E6A">
      <w:pPr>
        <w:pStyle w:val="PR1"/>
      </w:pPr>
      <w:r>
        <w:t>Proceed with pavement marking only after unsatisfactory conditions have been corrected.</w:t>
      </w:r>
    </w:p>
    <w:p w14:paraId="7D5A6910" w14:textId="77777777" w:rsidR="00F24F88" w:rsidRDefault="00F24F88" w:rsidP="00A47E6A">
      <w:pPr>
        <w:pStyle w:val="ART"/>
      </w:pPr>
      <w:r>
        <w:t>PAVEMENT MARKING</w:t>
      </w:r>
    </w:p>
    <w:p w14:paraId="107D7CC8" w14:textId="060F3202" w:rsidR="00F24F88" w:rsidRDefault="00F24F88" w:rsidP="00A47E6A">
      <w:pPr>
        <w:pStyle w:val="PR1"/>
      </w:pPr>
      <w:r>
        <w:t>Do not apply pavement-marking paint until layout, colors, and placement have been verified by the Director’s Representative.</w:t>
      </w:r>
    </w:p>
    <w:p w14:paraId="6BC4EFA8" w14:textId="6C6D349D" w:rsidR="00F24F88" w:rsidRDefault="00F24F88" w:rsidP="00A47E6A">
      <w:pPr>
        <w:pStyle w:val="PR1"/>
      </w:pPr>
      <w:r>
        <w:t xml:space="preserve">Allow asphalt paving or concrete surfaces to age for the minimum duration recommended by the pavement marking manufacturer before starting pavement marking. </w:t>
      </w:r>
    </w:p>
    <w:p w14:paraId="742DE121" w14:textId="6E958B5A" w:rsidR="00F24F88" w:rsidRPr="00F24F88" w:rsidRDefault="00F24F88" w:rsidP="00E57194">
      <w:pPr>
        <w:pStyle w:val="SpecifierNote"/>
      </w:pPr>
      <w:r w:rsidRPr="00E57194">
        <w:t xml:space="preserve">Retain option in </w:t>
      </w:r>
      <w:r>
        <w:t>Paragraph</w:t>
      </w:r>
      <w:r w:rsidRPr="00E57194">
        <w:t xml:space="preserve"> below if retaining waterborne emulsion or latex pavement-marking paint.</w:t>
      </w:r>
    </w:p>
    <w:p w14:paraId="1F22A6CD" w14:textId="08D59AB2" w:rsidR="00F24F88" w:rsidRDefault="00F24F88" w:rsidP="00210877">
      <w:pPr>
        <w:pStyle w:val="PR1"/>
        <w:numPr>
          <w:ilvl w:val="4"/>
          <w:numId w:val="2"/>
        </w:numPr>
      </w:pPr>
      <w:r w:rsidRPr="0035680B">
        <w:t>Apply paint in accordance with DOT Section 640-3.02</w:t>
      </w:r>
      <w:r>
        <w:t>, except as follows:</w:t>
      </w:r>
    </w:p>
    <w:p w14:paraId="4F2AD376" w14:textId="059C4A93" w:rsidR="00F24F88" w:rsidRDefault="00F24F88" w:rsidP="00E57194">
      <w:pPr>
        <w:pStyle w:val="PR2"/>
        <w:numPr>
          <w:ilvl w:val="5"/>
          <w:numId w:val="2"/>
        </w:numPr>
        <w:tabs>
          <w:tab w:val="left" w:pos="864"/>
        </w:tabs>
        <w:contextualSpacing w:val="0"/>
      </w:pPr>
      <w:r>
        <w:t>Delete references to Glass Beads.</w:t>
      </w:r>
    </w:p>
    <w:p w14:paraId="38FF42BD" w14:textId="77777777" w:rsidR="00F24F88" w:rsidRPr="00BD78DF" w:rsidRDefault="00F24F88" w:rsidP="00E57194">
      <w:pPr>
        <w:pStyle w:val="SpecifierNote"/>
      </w:pPr>
      <w:r w:rsidRPr="00E57194">
        <w:t>Retain first subparagraph below if graphic symbols or lettering is required.</w:t>
      </w:r>
    </w:p>
    <w:p w14:paraId="33B02394" w14:textId="77777777" w:rsidR="00F24F88" w:rsidRDefault="00F24F88" w:rsidP="00E57194">
      <w:pPr>
        <w:pStyle w:val="PR2"/>
        <w:spacing w:before="0"/>
        <w:contextualSpacing w:val="0"/>
      </w:pPr>
      <w:r>
        <w:t>Apply graphic symbols and lettering with paint-resistant, die-cut stencils, firmly secured to asphalt paving or concrete surface. Mask an extended area beyond edges of each stencil to prevent paint application beyond stencil. Apply paint so that it cannot run beneath stencil.</w:t>
      </w:r>
    </w:p>
    <w:p w14:paraId="3191C432" w14:textId="77777777" w:rsidR="00F24F88" w:rsidRDefault="00F24F88" w:rsidP="00A47E6A">
      <w:pPr>
        <w:pStyle w:val="ART"/>
      </w:pPr>
      <w:r>
        <w:t>PROTECTING AND CLEANING</w:t>
      </w:r>
    </w:p>
    <w:p w14:paraId="40206DCF" w14:textId="77777777" w:rsidR="00F24F88" w:rsidRDefault="00F24F88" w:rsidP="00A47E6A">
      <w:pPr>
        <w:pStyle w:val="PR1"/>
      </w:pPr>
      <w:r>
        <w:t>Protect pavement markings from damage and wear during remainder of construction period.</w:t>
      </w:r>
    </w:p>
    <w:p w14:paraId="37216828" w14:textId="77777777" w:rsidR="00F24F88" w:rsidRDefault="00F24F88" w:rsidP="00A47E6A">
      <w:pPr>
        <w:pStyle w:val="PR1"/>
      </w:pPr>
      <w:r>
        <w:t>Clean spillage and soiling from adjacent construction using cleaning agents and procedures recommended by manufacturer of affected construction.</w:t>
      </w:r>
    </w:p>
    <w:p w14:paraId="50F37F88" w14:textId="2886237C" w:rsidR="00F24F88" w:rsidRDefault="00F24F88">
      <w:pPr>
        <w:pStyle w:val="EOS"/>
      </w:pPr>
      <w:r>
        <w:t>END OF SECTION 321723</w:t>
      </w:r>
    </w:p>
    <w:sectPr w:rsidR="00F24F88"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8E43565"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2625DA">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F24F88">
      <w:rPr>
        <w:rFonts w:eastAsia="Calibri"/>
        <w:szCs w:val="22"/>
      </w:rPr>
      <w:t>321723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25DA"/>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57194"/>
    <w:rsid w:val="00E75A7A"/>
    <w:rsid w:val="00E803C1"/>
    <w:rsid w:val="00E832DF"/>
    <w:rsid w:val="00E86A34"/>
    <w:rsid w:val="00E91B53"/>
    <w:rsid w:val="00EF082A"/>
    <w:rsid w:val="00EF27F8"/>
    <w:rsid w:val="00F24F8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4999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