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404C" w14:textId="18A850DC" w:rsidR="00793575" w:rsidRPr="00793575" w:rsidRDefault="00793575" w:rsidP="00977516">
      <w:pPr>
        <w:pStyle w:val="SCT"/>
        <w:rPr>
          <w:szCs w:val="22"/>
        </w:rPr>
      </w:pPr>
      <w:r w:rsidRPr="00793575">
        <w:rPr>
          <w:szCs w:val="22"/>
        </w:rPr>
        <w:t xml:space="preserve">SECTION 312514.13 </w:t>
      </w:r>
      <w:r w:rsidRPr="00020BE4">
        <w:rPr>
          <w:szCs w:val="22"/>
        </w:rPr>
        <w:t>-</w:t>
      </w:r>
      <w:r w:rsidRPr="00793575">
        <w:rPr>
          <w:szCs w:val="22"/>
        </w:rPr>
        <w:t xml:space="preserve"> HYDRAULICALLY-APPLIED EROSION CONTROL</w:t>
      </w:r>
    </w:p>
    <w:p w14:paraId="2B0F8A7D" w14:textId="77777777" w:rsidR="00793575" w:rsidRPr="00793575" w:rsidRDefault="00793575" w:rsidP="00992755">
      <w:pPr>
        <w:pStyle w:val="SpecifierNote"/>
      </w:pPr>
      <w:r w:rsidRPr="00793575">
        <w:t xml:space="preserve">This section includes specifications for flexible growth mediums. </w:t>
      </w:r>
    </w:p>
    <w:p w14:paraId="0E40A006" w14:textId="77777777" w:rsidR="00793575" w:rsidRPr="00793575" w:rsidRDefault="00793575" w:rsidP="00793575">
      <w:pPr>
        <w:pStyle w:val="PRT"/>
        <w:numPr>
          <w:ilvl w:val="0"/>
          <w:numId w:val="11"/>
        </w:numPr>
        <w:rPr>
          <w:szCs w:val="22"/>
        </w:rPr>
      </w:pPr>
      <w:r w:rsidRPr="00793575">
        <w:rPr>
          <w:szCs w:val="22"/>
        </w:rPr>
        <w:t>GENERAL</w:t>
      </w:r>
    </w:p>
    <w:p w14:paraId="6047CC03" w14:textId="77777777" w:rsidR="00793575" w:rsidRPr="00793575" w:rsidRDefault="00793575" w:rsidP="00793575">
      <w:pPr>
        <w:pStyle w:val="ART"/>
        <w:numPr>
          <w:ilvl w:val="3"/>
          <w:numId w:val="11"/>
        </w:numPr>
        <w:rPr>
          <w:szCs w:val="22"/>
        </w:rPr>
      </w:pPr>
      <w:r w:rsidRPr="00793575">
        <w:rPr>
          <w:szCs w:val="22"/>
        </w:rPr>
        <w:t>SUMMARY</w:t>
      </w:r>
    </w:p>
    <w:p w14:paraId="3D6A7405" w14:textId="77777777" w:rsidR="00793575" w:rsidRPr="00793575" w:rsidRDefault="00793575" w:rsidP="00793575">
      <w:pPr>
        <w:pStyle w:val="PR1"/>
        <w:numPr>
          <w:ilvl w:val="4"/>
          <w:numId w:val="11"/>
        </w:numPr>
        <w:rPr>
          <w:szCs w:val="22"/>
        </w:rPr>
      </w:pPr>
      <w:r w:rsidRPr="00793575">
        <w:rPr>
          <w:szCs w:val="22"/>
        </w:rPr>
        <w:t>This section specifies a hydraulically applied Flexible Growth Medium (FGM) composed of long strand, thermally processed wood fibers, crimped, interlocking fibers and performance enhancing additives. The FGM requires no curing period and upon application forms an intimate bond with the soil surface to create a continuous, porous, absorbent and flexible erosion resistant blanket that allows for rapid germination and accelerated plant growth.</w:t>
      </w:r>
    </w:p>
    <w:p w14:paraId="37F1B0FE" w14:textId="77777777" w:rsidR="00793575" w:rsidRPr="00793575" w:rsidRDefault="00793575" w:rsidP="00793575">
      <w:pPr>
        <w:pStyle w:val="ART"/>
        <w:numPr>
          <w:ilvl w:val="3"/>
          <w:numId w:val="11"/>
        </w:numPr>
        <w:rPr>
          <w:szCs w:val="22"/>
        </w:rPr>
      </w:pPr>
      <w:r w:rsidRPr="00793575">
        <w:rPr>
          <w:szCs w:val="22"/>
        </w:rPr>
        <w:t>SUBMITTALS</w:t>
      </w:r>
    </w:p>
    <w:p w14:paraId="4E1FDD8F" w14:textId="77777777" w:rsidR="00793575" w:rsidRPr="00793575" w:rsidRDefault="00793575" w:rsidP="00992755">
      <w:pPr>
        <w:pStyle w:val="SpecifierNote"/>
      </w:pPr>
      <w:r w:rsidRPr="00793575">
        <w:t>Only request submittals needed to verify compliance with project requirements.</w:t>
      </w:r>
    </w:p>
    <w:p w14:paraId="37839642" w14:textId="77777777" w:rsidR="00793575" w:rsidRPr="00793575" w:rsidRDefault="00793575" w:rsidP="00793575">
      <w:pPr>
        <w:pStyle w:val="PR1"/>
        <w:numPr>
          <w:ilvl w:val="4"/>
          <w:numId w:val="11"/>
        </w:numPr>
        <w:rPr>
          <w:szCs w:val="22"/>
        </w:rPr>
      </w:pPr>
      <w:r w:rsidRPr="00793575">
        <w:rPr>
          <w:szCs w:val="22"/>
        </w:rPr>
        <w:t>Submittals in this section are subject to the re-evaluation fee identified in Article 4 of the General Conditions.</w:t>
      </w:r>
    </w:p>
    <w:p w14:paraId="4E283D9D" w14:textId="77777777" w:rsidR="00793575" w:rsidRPr="00793575" w:rsidRDefault="00793575" w:rsidP="00793575">
      <w:pPr>
        <w:pStyle w:val="PR1"/>
        <w:numPr>
          <w:ilvl w:val="4"/>
          <w:numId w:val="11"/>
        </w:numPr>
        <w:rPr>
          <w:szCs w:val="22"/>
        </w:rPr>
      </w:pPr>
      <w:r w:rsidRPr="00793575">
        <w:rPr>
          <w:szCs w:val="22"/>
        </w:rPr>
        <w:t>Product Data: Submit manufacturer's product data and installation instructions. Include required substrate preparation, list of materials and application rate.</w:t>
      </w:r>
    </w:p>
    <w:p w14:paraId="78D08F7E" w14:textId="77777777" w:rsidR="00793575" w:rsidRPr="00793575" w:rsidRDefault="00793575" w:rsidP="00793575">
      <w:pPr>
        <w:pStyle w:val="PR1"/>
        <w:numPr>
          <w:ilvl w:val="4"/>
          <w:numId w:val="11"/>
        </w:numPr>
        <w:rPr>
          <w:szCs w:val="22"/>
        </w:rPr>
      </w:pPr>
      <w:r w:rsidRPr="00793575">
        <w:rPr>
          <w:szCs w:val="22"/>
        </w:rPr>
        <w:t>Certifications: Manufacturer shall submit a letter of certification that the products meets or exceeds all physical property, endurance, performance and packaging requirements.</w:t>
      </w:r>
    </w:p>
    <w:p w14:paraId="741DBE58" w14:textId="77777777" w:rsidR="00793575" w:rsidRPr="00793575" w:rsidRDefault="00793575" w:rsidP="00793575">
      <w:pPr>
        <w:pStyle w:val="PR1"/>
        <w:numPr>
          <w:ilvl w:val="4"/>
          <w:numId w:val="11"/>
        </w:numPr>
        <w:rPr>
          <w:szCs w:val="22"/>
        </w:rPr>
      </w:pPr>
      <w:r w:rsidRPr="00793575">
        <w:rPr>
          <w:szCs w:val="22"/>
        </w:rPr>
        <w:t xml:space="preserve">Sample:  One pound of seed in vendor’s unopened package with label and seed analysis. </w:t>
      </w:r>
    </w:p>
    <w:p w14:paraId="341C33A0" w14:textId="77777777" w:rsidR="00793575" w:rsidRPr="00793575" w:rsidRDefault="00793575" w:rsidP="00793575">
      <w:pPr>
        <w:pStyle w:val="ART"/>
        <w:numPr>
          <w:ilvl w:val="3"/>
          <w:numId w:val="11"/>
        </w:numPr>
        <w:rPr>
          <w:szCs w:val="22"/>
        </w:rPr>
      </w:pPr>
      <w:r w:rsidRPr="00793575">
        <w:rPr>
          <w:szCs w:val="22"/>
        </w:rPr>
        <w:t>QUALITY ASSURANCE</w:t>
      </w:r>
    </w:p>
    <w:p w14:paraId="38F54C21" w14:textId="77777777" w:rsidR="00793575" w:rsidRPr="00793575" w:rsidRDefault="00793575" w:rsidP="00793575">
      <w:pPr>
        <w:pStyle w:val="PR1"/>
        <w:numPr>
          <w:ilvl w:val="4"/>
          <w:numId w:val="11"/>
        </w:numPr>
        <w:rPr>
          <w:szCs w:val="22"/>
        </w:rPr>
      </w:pPr>
      <w:r w:rsidRPr="00793575">
        <w:rPr>
          <w:szCs w:val="22"/>
        </w:rPr>
        <w:t>Field Examples:  Seed samples will be taken by the Director’s Representative 30 days before sowing and sent to the New York State Experiment Station, Geneva, NY  14456, for testing.  Test analysis will indicate species, purity, percent of germination, and weed content.  Results will be sent directly to the Director for acceptance or rejection based on these tests.  Pay all expenses incurred for testing.</w:t>
      </w:r>
    </w:p>
    <w:p w14:paraId="35766103" w14:textId="77777777" w:rsidR="00793575" w:rsidRPr="00793575" w:rsidRDefault="00793575" w:rsidP="00793575">
      <w:pPr>
        <w:pStyle w:val="ART"/>
        <w:numPr>
          <w:ilvl w:val="3"/>
          <w:numId w:val="11"/>
        </w:numPr>
        <w:rPr>
          <w:szCs w:val="22"/>
        </w:rPr>
      </w:pPr>
      <w:r w:rsidRPr="00793575">
        <w:rPr>
          <w:szCs w:val="22"/>
        </w:rPr>
        <w:t>DELIVERY, STORAGE, AND HANDLING</w:t>
      </w:r>
    </w:p>
    <w:p w14:paraId="19746D75" w14:textId="77777777" w:rsidR="00793575" w:rsidRPr="00793575" w:rsidRDefault="00793575" w:rsidP="00793575">
      <w:pPr>
        <w:pStyle w:val="PR1"/>
        <w:numPr>
          <w:ilvl w:val="4"/>
          <w:numId w:val="11"/>
        </w:numPr>
        <w:rPr>
          <w:szCs w:val="22"/>
        </w:rPr>
      </w:pPr>
      <w:r w:rsidRPr="00793575">
        <w:rPr>
          <w:szCs w:val="22"/>
        </w:rPr>
        <w:t>Deliver materials and products in UV and weather resistant factory labeled packages. Store and handle in strict compliance with manufacturer's instructions and recommendations. Protect from damage from weather, excessive temperatures and construction operations.</w:t>
      </w:r>
    </w:p>
    <w:p w14:paraId="2297F247" w14:textId="77777777" w:rsidR="00793575" w:rsidRPr="00793575" w:rsidRDefault="00793575" w:rsidP="00793575">
      <w:pPr>
        <w:pStyle w:val="PR1"/>
        <w:numPr>
          <w:ilvl w:val="4"/>
          <w:numId w:val="11"/>
        </w:numPr>
        <w:rPr>
          <w:szCs w:val="22"/>
        </w:rPr>
      </w:pPr>
      <w:r w:rsidRPr="00793575">
        <w:rPr>
          <w:szCs w:val="22"/>
        </w:rPr>
        <w:t>Deliver fertilizer in manufacturer’s standard size bags or cartons showing weight, analysis, and the name of the manufacturer.  Store as approved by Director’s Representative.</w:t>
      </w:r>
    </w:p>
    <w:p w14:paraId="3A36604A" w14:textId="77777777" w:rsidR="00793575" w:rsidRPr="00793575" w:rsidRDefault="00793575" w:rsidP="00793575">
      <w:pPr>
        <w:pStyle w:val="PR1"/>
        <w:numPr>
          <w:ilvl w:val="4"/>
          <w:numId w:val="11"/>
        </w:numPr>
        <w:rPr>
          <w:szCs w:val="22"/>
        </w:rPr>
      </w:pPr>
      <w:r w:rsidRPr="00793575">
        <w:rPr>
          <w:szCs w:val="22"/>
        </w:rPr>
        <w:t>Store all seed at the site in a cool dry place as approved by the Director’s Representative.  Replace any seed damaged during storage.</w:t>
      </w:r>
    </w:p>
    <w:p w14:paraId="5318D032" w14:textId="77777777" w:rsidR="00793575" w:rsidRPr="00793575" w:rsidRDefault="00793575" w:rsidP="00793575">
      <w:pPr>
        <w:pStyle w:val="PR1"/>
        <w:numPr>
          <w:ilvl w:val="4"/>
          <w:numId w:val="11"/>
        </w:numPr>
        <w:rPr>
          <w:szCs w:val="22"/>
        </w:rPr>
      </w:pPr>
      <w:r w:rsidRPr="00793575">
        <w:rPr>
          <w:szCs w:val="22"/>
        </w:rPr>
        <w:lastRenderedPageBreak/>
        <w:t>Deliver seeds, 30 days in advance of anticipated use, in vendor’s unopened packages bearing labels showing vendor’s name and seed analysis by weight.</w:t>
      </w:r>
    </w:p>
    <w:p w14:paraId="79F7FBC8" w14:textId="77777777" w:rsidR="00793575" w:rsidRPr="00793575" w:rsidRDefault="00793575" w:rsidP="00793575">
      <w:pPr>
        <w:pStyle w:val="PRT"/>
        <w:numPr>
          <w:ilvl w:val="0"/>
          <w:numId w:val="11"/>
        </w:numPr>
        <w:rPr>
          <w:szCs w:val="22"/>
        </w:rPr>
      </w:pPr>
      <w:r w:rsidRPr="00793575">
        <w:rPr>
          <w:szCs w:val="22"/>
        </w:rPr>
        <w:t>PRODUCTS</w:t>
      </w:r>
    </w:p>
    <w:p w14:paraId="39831DE5" w14:textId="77777777" w:rsidR="00793575" w:rsidRPr="00793575" w:rsidRDefault="00793575" w:rsidP="00793575">
      <w:pPr>
        <w:pStyle w:val="ART"/>
        <w:numPr>
          <w:ilvl w:val="3"/>
          <w:numId w:val="11"/>
        </w:numPr>
        <w:rPr>
          <w:szCs w:val="22"/>
        </w:rPr>
      </w:pPr>
      <w:r w:rsidRPr="00793575">
        <w:rPr>
          <w:szCs w:val="22"/>
        </w:rPr>
        <w:t>FLEXIBLE GROWTH MEDIUM</w:t>
      </w:r>
    </w:p>
    <w:p w14:paraId="761EA5F1" w14:textId="77777777" w:rsidR="00793575" w:rsidRPr="00793575" w:rsidRDefault="00793575" w:rsidP="00793575">
      <w:pPr>
        <w:pStyle w:val="PR1"/>
        <w:numPr>
          <w:ilvl w:val="4"/>
          <w:numId w:val="11"/>
        </w:numPr>
        <w:rPr>
          <w:szCs w:val="22"/>
        </w:rPr>
      </w:pPr>
      <w:r w:rsidRPr="00793575">
        <w:rPr>
          <w:szCs w:val="22"/>
        </w:rPr>
        <w:t xml:space="preserve">Acceptable flexible growth medium manufacturer: </w:t>
      </w:r>
    </w:p>
    <w:p w14:paraId="10D100E5" w14:textId="77777777" w:rsidR="00793575" w:rsidRPr="00793575" w:rsidRDefault="00793575" w:rsidP="00992755">
      <w:pPr>
        <w:pStyle w:val="PR2"/>
        <w:numPr>
          <w:ilvl w:val="5"/>
          <w:numId w:val="11"/>
        </w:numPr>
        <w:contextualSpacing w:val="0"/>
        <w:rPr>
          <w:szCs w:val="22"/>
        </w:rPr>
      </w:pPr>
      <w:r w:rsidRPr="00793575">
        <w:rPr>
          <w:szCs w:val="22"/>
        </w:rPr>
        <w:t xml:space="preserve">PROFILE Products LLC, 750 Lake Cook Road • Suite 440, Buffalo Grove, IL 60089 Phone: (847)-215-1140, Website: </w:t>
      </w:r>
      <w:hyperlink r:id="rId11" w:history="1">
        <w:r w:rsidRPr="00793575">
          <w:rPr>
            <w:rStyle w:val="Hyperlink"/>
            <w:szCs w:val="22"/>
          </w:rPr>
          <w:t>www.profileproducts.com</w:t>
        </w:r>
      </w:hyperlink>
      <w:r w:rsidRPr="00793575">
        <w:rPr>
          <w:szCs w:val="22"/>
        </w:rPr>
        <w:t>.</w:t>
      </w:r>
    </w:p>
    <w:p w14:paraId="3D1C0BDC" w14:textId="0C32CC7C" w:rsidR="00793575" w:rsidRPr="00793575" w:rsidRDefault="00793575" w:rsidP="00992755">
      <w:pPr>
        <w:pStyle w:val="PR2"/>
        <w:numPr>
          <w:ilvl w:val="5"/>
          <w:numId w:val="11"/>
        </w:numPr>
        <w:spacing w:before="0"/>
        <w:contextualSpacing w:val="0"/>
        <w:rPr>
          <w:szCs w:val="22"/>
        </w:rPr>
      </w:pPr>
      <w:r w:rsidRPr="00793575">
        <w:rPr>
          <w:szCs w:val="22"/>
        </w:rPr>
        <w:t>Approved equivalent.</w:t>
      </w:r>
    </w:p>
    <w:p w14:paraId="77FFD960" w14:textId="77777777" w:rsidR="00793575" w:rsidRPr="00793575" w:rsidRDefault="00793575" w:rsidP="00793575">
      <w:pPr>
        <w:pStyle w:val="PR1"/>
        <w:numPr>
          <w:ilvl w:val="4"/>
          <w:numId w:val="11"/>
        </w:numPr>
        <w:rPr>
          <w:szCs w:val="22"/>
        </w:rPr>
      </w:pPr>
      <w:r w:rsidRPr="00793575">
        <w:rPr>
          <w:szCs w:val="22"/>
        </w:rPr>
        <w:t xml:space="preserve">Materials: </w:t>
      </w:r>
    </w:p>
    <w:p w14:paraId="04EDFE7C" w14:textId="629C02D2" w:rsidR="00793575" w:rsidRPr="00793575" w:rsidRDefault="00793575" w:rsidP="00992755">
      <w:pPr>
        <w:pStyle w:val="PR2"/>
        <w:numPr>
          <w:ilvl w:val="5"/>
          <w:numId w:val="11"/>
        </w:numPr>
        <w:spacing w:after="240"/>
        <w:contextualSpacing w:val="0"/>
        <w:rPr>
          <w:szCs w:val="22"/>
        </w:rPr>
      </w:pPr>
      <w:r w:rsidRPr="00793575">
        <w:rPr>
          <w:szCs w:val="22"/>
        </w:rPr>
        <w:t>Flexible Growth Medium: Flexterra FGM®, as manufactured by PROFILE Products LLC and shall conform to the following typical property values when uniformly applied at a rate of 3500 pounds per acre.</w:t>
      </w:r>
    </w:p>
    <w:tbl>
      <w:tblPr>
        <w:tblStyle w:val="TableGrid1"/>
        <w:tblW w:w="0" w:type="auto"/>
        <w:jc w:val="center"/>
        <w:tblInd w:w="0" w:type="dxa"/>
        <w:tblLook w:val="01E0" w:firstRow="1" w:lastRow="1" w:firstColumn="1" w:lastColumn="1" w:noHBand="0" w:noVBand="0"/>
      </w:tblPr>
      <w:tblGrid>
        <w:gridCol w:w="3585"/>
        <w:gridCol w:w="2316"/>
        <w:gridCol w:w="2307"/>
      </w:tblGrid>
      <w:tr w:rsidR="00793575" w:rsidRPr="00793575" w14:paraId="67AF046B" w14:textId="77777777" w:rsidTr="00992755">
        <w:trPr>
          <w:trHeight w:val="213"/>
          <w:jc w:val="center"/>
        </w:trPr>
        <w:tc>
          <w:tcPr>
            <w:tcW w:w="3585" w:type="dxa"/>
            <w:shd w:val="clear" w:color="auto" w:fill="auto"/>
          </w:tcPr>
          <w:p w14:paraId="39488E99" w14:textId="77777777" w:rsidR="00793575" w:rsidRPr="00793575" w:rsidRDefault="00793575" w:rsidP="007A5432">
            <w:pPr>
              <w:jc w:val="center"/>
              <w:rPr>
                <w:b/>
                <w:szCs w:val="22"/>
              </w:rPr>
            </w:pPr>
            <w:r w:rsidRPr="00793575">
              <w:rPr>
                <w:b/>
                <w:szCs w:val="22"/>
              </w:rPr>
              <w:t>PROPERTIES</w:t>
            </w:r>
          </w:p>
        </w:tc>
        <w:tc>
          <w:tcPr>
            <w:tcW w:w="2316" w:type="dxa"/>
            <w:shd w:val="clear" w:color="auto" w:fill="auto"/>
            <w:hideMark/>
          </w:tcPr>
          <w:p w14:paraId="2F935C39" w14:textId="77777777" w:rsidR="00793575" w:rsidRPr="00793575" w:rsidRDefault="00793575" w:rsidP="007A5432">
            <w:pPr>
              <w:jc w:val="center"/>
              <w:rPr>
                <w:b/>
                <w:szCs w:val="22"/>
              </w:rPr>
            </w:pPr>
            <w:r w:rsidRPr="00793575">
              <w:rPr>
                <w:b/>
                <w:szCs w:val="22"/>
              </w:rPr>
              <w:t>TEST METHOD</w:t>
            </w:r>
          </w:p>
        </w:tc>
        <w:tc>
          <w:tcPr>
            <w:tcW w:w="2307" w:type="dxa"/>
            <w:shd w:val="clear" w:color="auto" w:fill="auto"/>
            <w:hideMark/>
          </w:tcPr>
          <w:p w14:paraId="4345CBFA" w14:textId="77777777" w:rsidR="00793575" w:rsidRPr="00793575" w:rsidRDefault="00793575" w:rsidP="007A5432">
            <w:pPr>
              <w:jc w:val="center"/>
              <w:rPr>
                <w:b/>
                <w:szCs w:val="22"/>
              </w:rPr>
            </w:pPr>
            <w:r w:rsidRPr="00793575">
              <w:rPr>
                <w:b/>
                <w:szCs w:val="22"/>
              </w:rPr>
              <w:t>TESTED VALUE</w:t>
            </w:r>
          </w:p>
        </w:tc>
      </w:tr>
      <w:tr w:rsidR="00793575" w:rsidRPr="00793575" w14:paraId="5BAC91F7" w14:textId="77777777" w:rsidTr="00992755">
        <w:trPr>
          <w:jc w:val="center"/>
        </w:trPr>
        <w:tc>
          <w:tcPr>
            <w:tcW w:w="8208" w:type="dxa"/>
            <w:gridSpan w:val="3"/>
            <w:shd w:val="clear" w:color="auto" w:fill="auto"/>
            <w:hideMark/>
          </w:tcPr>
          <w:p w14:paraId="40496B77" w14:textId="77777777" w:rsidR="00793575" w:rsidRPr="00793575" w:rsidRDefault="00793575" w:rsidP="007A5432">
            <w:pPr>
              <w:rPr>
                <w:b/>
                <w:szCs w:val="22"/>
              </w:rPr>
            </w:pPr>
            <w:r w:rsidRPr="00793575">
              <w:rPr>
                <w:b/>
                <w:szCs w:val="22"/>
              </w:rPr>
              <w:t>PHYSICAL</w:t>
            </w:r>
          </w:p>
        </w:tc>
      </w:tr>
      <w:tr w:rsidR="00793575" w:rsidRPr="00793575" w14:paraId="39494895" w14:textId="77777777" w:rsidTr="00992755">
        <w:trPr>
          <w:jc w:val="center"/>
        </w:trPr>
        <w:tc>
          <w:tcPr>
            <w:tcW w:w="3585" w:type="dxa"/>
            <w:shd w:val="clear" w:color="auto" w:fill="auto"/>
            <w:hideMark/>
          </w:tcPr>
          <w:p w14:paraId="0668937D" w14:textId="77777777" w:rsidR="00793575" w:rsidRPr="00793575" w:rsidRDefault="00793575" w:rsidP="007A5432">
            <w:pPr>
              <w:rPr>
                <w:szCs w:val="22"/>
              </w:rPr>
            </w:pPr>
            <w:r w:rsidRPr="00793575">
              <w:rPr>
                <w:szCs w:val="22"/>
              </w:rPr>
              <w:t>Mass Per Unit Area</w:t>
            </w:r>
          </w:p>
        </w:tc>
        <w:tc>
          <w:tcPr>
            <w:tcW w:w="2316" w:type="dxa"/>
            <w:shd w:val="clear" w:color="auto" w:fill="auto"/>
            <w:hideMark/>
          </w:tcPr>
          <w:p w14:paraId="74EEE551" w14:textId="77777777" w:rsidR="00793575" w:rsidRPr="00793575" w:rsidRDefault="00793575" w:rsidP="007A5432">
            <w:pPr>
              <w:jc w:val="center"/>
              <w:rPr>
                <w:szCs w:val="22"/>
              </w:rPr>
            </w:pPr>
            <w:r w:rsidRPr="00793575">
              <w:rPr>
                <w:szCs w:val="22"/>
              </w:rPr>
              <w:t>ASTM D-6566</w:t>
            </w:r>
          </w:p>
        </w:tc>
        <w:tc>
          <w:tcPr>
            <w:tcW w:w="2307" w:type="dxa"/>
            <w:shd w:val="clear" w:color="auto" w:fill="auto"/>
            <w:hideMark/>
          </w:tcPr>
          <w:p w14:paraId="0BE05C80" w14:textId="77777777" w:rsidR="00793575" w:rsidRPr="00793575" w:rsidRDefault="00793575" w:rsidP="007A5432">
            <w:pPr>
              <w:jc w:val="center"/>
              <w:rPr>
                <w:szCs w:val="22"/>
                <w:vertAlign w:val="superscript"/>
              </w:rPr>
            </w:pPr>
            <w:r w:rsidRPr="00793575">
              <w:rPr>
                <w:szCs w:val="22"/>
              </w:rPr>
              <w:t>≥11.6 oz/yd</w:t>
            </w:r>
            <w:r w:rsidRPr="00793575">
              <w:rPr>
                <w:szCs w:val="22"/>
                <w:vertAlign w:val="superscript"/>
              </w:rPr>
              <w:t>2</w:t>
            </w:r>
          </w:p>
        </w:tc>
      </w:tr>
      <w:tr w:rsidR="00793575" w:rsidRPr="00793575" w14:paraId="328FFB3C" w14:textId="77777777" w:rsidTr="00992755">
        <w:trPr>
          <w:jc w:val="center"/>
        </w:trPr>
        <w:tc>
          <w:tcPr>
            <w:tcW w:w="3585" w:type="dxa"/>
            <w:shd w:val="clear" w:color="auto" w:fill="auto"/>
            <w:hideMark/>
          </w:tcPr>
          <w:p w14:paraId="4B724ACE" w14:textId="77777777" w:rsidR="00793575" w:rsidRPr="00793575" w:rsidRDefault="00793575" w:rsidP="007A5432">
            <w:pPr>
              <w:rPr>
                <w:szCs w:val="22"/>
              </w:rPr>
            </w:pPr>
            <w:r w:rsidRPr="00793575">
              <w:rPr>
                <w:szCs w:val="22"/>
              </w:rPr>
              <w:t>Thickness</w:t>
            </w:r>
          </w:p>
        </w:tc>
        <w:tc>
          <w:tcPr>
            <w:tcW w:w="2316" w:type="dxa"/>
            <w:shd w:val="clear" w:color="auto" w:fill="auto"/>
            <w:hideMark/>
          </w:tcPr>
          <w:p w14:paraId="7AAC9008" w14:textId="77777777" w:rsidR="00793575" w:rsidRPr="00793575" w:rsidRDefault="00793575" w:rsidP="007A5432">
            <w:pPr>
              <w:jc w:val="center"/>
              <w:rPr>
                <w:szCs w:val="22"/>
              </w:rPr>
            </w:pPr>
            <w:r w:rsidRPr="00793575">
              <w:rPr>
                <w:szCs w:val="22"/>
              </w:rPr>
              <w:t>ASTM D-6525</w:t>
            </w:r>
          </w:p>
        </w:tc>
        <w:tc>
          <w:tcPr>
            <w:tcW w:w="2307" w:type="dxa"/>
            <w:shd w:val="clear" w:color="auto" w:fill="auto"/>
            <w:hideMark/>
          </w:tcPr>
          <w:p w14:paraId="491E82E2" w14:textId="77777777" w:rsidR="00793575" w:rsidRPr="00793575" w:rsidRDefault="00793575" w:rsidP="007A5432">
            <w:pPr>
              <w:jc w:val="center"/>
              <w:rPr>
                <w:szCs w:val="22"/>
              </w:rPr>
            </w:pPr>
            <w:r w:rsidRPr="00793575">
              <w:rPr>
                <w:szCs w:val="22"/>
              </w:rPr>
              <w:t>≥ 0.22 in</w:t>
            </w:r>
          </w:p>
        </w:tc>
      </w:tr>
      <w:tr w:rsidR="00793575" w:rsidRPr="00793575" w14:paraId="56B91D35" w14:textId="77777777" w:rsidTr="00992755">
        <w:trPr>
          <w:jc w:val="center"/>
        </w:trPr>
        <w:tc>
          <w:tcPr>
            <w:tcW w:w="3585" w:type="dxa"/>
            <w:shd w:val="clear" w:color="auto" w:fill="auto"/>
            <w:hideMark/>
          </w:tcPr>
          <w:p w14:paraId="58A5EC2F" w14:textId="77777777" w:rsidR="00793575" w:rsidRPr="00793575" w:rsidRDefault="00793575" w:rsidP="007A5432">
            <w:pPr>
              <w:rPr>
                <w:szCs w:val="22"/>
              </w:rPr>
            </w:pPr>
            <w:r w:rsidRPr="00793575">
              <w:rPr>
                <w:szCs w:val="22"/>
              </w:rPr>
              <w:t>% Ground Cover</w:t>
            </w:r>
          </w:p>
        </w:tc>
        <w:tc>
          <w:tcPr>
            <w:tcW w:w="2316" w:type="dxa"/>
            <w:shd w:val="clear" w:color="auto" w:fill="auto"/>
            <w:hideMark/>
          </w:tcPr>
          <w:p w14:paraId="7062BA89" w14:textId="77777777" w:rsidR="00793575" w:rsidRPr="00793575" w:rsidRDefault="00793575" w:rsidP="007A5432">
            <w:pPr>
              <w:jc w:val="center"/>
              <w:rPr>
                <w:szCs w:val="22"/>
              </w:rPr>
            </w:pPr>
            <w:r w:rsidRPr="00793575">
              <w:rPr>
                <w:szCs w:val="22"/>
              </w:rPr>
              <w:t>ASTM D-6567</w:t>
            </w:r>
          </w:p>
        </w:tc>
        <w:tc>
          <w:tcPr>
            <w:tcW w:w="2307" w:type="dxa"/>
            <w:shd w:val="clear" w:color="auto" w:fill="auto"/>
            <w:hideMark/>
          </w:tcPr>
          <w:p w14:paraId="169B1674" w14:textId="77777777" w:rsidR="00793575" w:rsidRPr="00793575" w:rsidRDefault="00793575" w:rsidP="007A5432">
            <w:pPr>
              <w:jc w:val="center"/>
              <w:rPr>
                <w:szCs w:val="22"/>
              </w:rPr>
            </w:pPr>
            <w:r w:rsidRPr="00793575">
              <w:rPr>
                <w:szCs w:val="22"/>
              </w:rPr>
              <w:t>≥ 99%</w:t>
            </w:r>
          </w:p>
        </w:tc>
      </w:tr>
      <w:tr w:rsidR="00793575" w:rsidRPr="00793575" w14:paraId="477D93EC" w14:textId="77777777" w:rsidTr="00992755">
        <w:trPr>
          <w:jc w:val="center"/>
        </w:trPr>
        <w:tc>
          <w:tcPr>
            <w:tcW w:w="3585" w:type="dxa"/>
            <w:shd w:val="clear" w:color="auto" w:fill="auto"/>
            <w:hideMark/>
          </w:tcPr>
          <w:p w14:paraId="16A25585" w14:textId="77777777" w:rsidR="00793575" w:rsidRPr="00793575" w:rsidRDefault="00793575" w:rsidP="007A5432">
            <w:pPr>
              <w:rPr>
                <w:szCs w:val="22"/>
              </w:rPr>
            </w:pPr>
            <w:r w:rsidRPr="00793575">
              <w:rPr>
                <w:szCs w:val="22"/>
              </w:rPr>
              <w:t>Water Holding Capacity</w:t>
            </w:r>
          </w:p>
        </w:tc>
        <w:tc>
          <w:tcPr>
            <w:tcW w:w="2316" w:type="dxa"/>
            <w:shd w:val="clear" w:color="auto" w:fill="auto"/>
            <w:hideMark/>
          </w:tcPr>
          <w:p w14:paraId="6CB78BEE" w14:textId="77777777" w:rsidR="00793575" w:rsidRPr="00793575" w:rsidRDefault="00793575" w:rsidP="007A5432">
            <w:pPr>
              <w:jc w:val="center"/>
              <w:rPr>
                <w:szCs w:val="22"/>
              </w:rPr>
            </w:pPr>
            <w:r w:rsidRPr="00793575">
              <w:rPr>
                <w:szCs w:val="22"/>
              </w:rPr>
              <w:t>ASTM D-7367</w:t>
            </w:r>
          </w:p>
        </w:tc>
        <w:tc>
          <w:tcPr>
            <w:tcW w:w="2307" w:type="dxa"/>
            <w:shd w:val="clear" w:color="auto" w:fill="auto"/>
            <w:hideMark/>
          </w:tcPr>
          <w:p w14:paraId="588027A4" w14:textId="77777777" w:rsidR="00793575" w:rsidRPr="00793575" w:rsidRDefault="00793575" w:rsidP="007A5432">
            <w:pPr>
              <w:jc w:val="center"/>
              <w:rPr>
                <w:szCs w:val="22"/>
              </w:rPr>
            </w:pPr>
            <w:r w:rsidRPr="00793575">
              <w:rPr>
                <w:szCs w:val="22"/>
              </w:rPr>
              <w:t>≥ 1700%</w:t>
            </w:r>
          </w:p>
        </w:tc>
      </w:tr>
      <w:tr w:rsidR="00793575" w:rsidRPr="00793575" w14:paraId="435E50EA" w14:textId="77777777" w:rsidTr="00992755">
        <w:trPr>
          <w:jc w:val="center"/>
        </w:trPr>
        <w:tc>
          <w:tcPr>
            <w:tcW w:w="3585" w:type="dxa"/>
            <w:shd w:val="clear" w:color="auto" w:fill="auto"/>
            <w:hideMark/>
          </w:tcPr>
          <w:p w14:paraId="37A09A4E" w14:textId="77777777" w:rsidR="00793575" w:rsidRPr="00793575" w:rsidRDefault="00793575" w:rsidP="007A5432">
            <w:pPr>
              <w:rPr>
                <w:szCs w:val="22"/>
              </w:rPr>
            </w:pPr>
            <w:r w:rsidRPr="00793575">
              <w:rPr>
                <w:szCs w:val="22"/>
              </w:rPr>
              <w:t>Material Color</w:t>
            </w:r>
          </w:p>
        </w:tc>
        <w:tc>
          <w:tcPr>
            <w:tcW w:w="2316" w:type="dxa"/>
            <w:shd w:val="clear" w:color="auto" w:fill="auto"/>
            <w:hideMark/>
          </w:tcPr>
          <w:p w14:paraId="274C6673" w14:textId="77777777" w:rsidR="00793575" w:rsidRPr="00793575" w:rsidRDefault="00793575" w:rsidP="007A5432">
            <w:pPr>
              <w:jc w:val="center"/>
              <w:rPr>
                <w:szCs w:val="22"/>
              </w:rPr>
            </w:pPr>
            <w:r w:rsidRPr="00793575">
              <w:rPr>
                <w:szCs w:val="22"/>
              </w:rPr>
              <w:t>Observed</w:t>
            </w:r>
          </w:p>
        </w:tc>
        <w:tc>
          <w:tcPr>
            <w:tcW w:w="2307" w:type="dxa"/>
            <w:shd w:val="clear" w:color="auto" w:fill="auto"/>
            <w:hideMark/>
          </w:tcPr>
          <w:p w14:paraId="39030186" w14:textId="77777777" w:rsidR="00793575" w:rsidRPr="00793575" w:rsidRDefault="00793575" w:rsidP="007A5432">
            <w:pPr>
              <w:jc w:val="center"/>
              <w:rPr>
                <w:szCs w:val="22"/>
              </w:rPr>
            </w:pPr>
            <w:r w:rsidRPr="00793575">
              <w:rPr>
                <w:szCs w:val="22"/>
              </w:rPr>
              <w:t>Green</w:t>
            </w:r>
          </w:p>
        </w:tc>
      </w:tr>
      <w:tr w:rsidR="00793575" w:rsidRPr="00793575" w14:paraId="4DA7D16D" w14:textId="77777777" w:rsidTr="00992755">
        <w:trPr>
          <w:jc w:val="center"/>
        </w:trPr>
        <w:tc>
          <w:tcPr>
            <w:tcW w:w="8208" w:type="dxa"/>
            <w:gridSpan w:val="3"/>
            <w:shd w:val="clear" w:color="auto" w:fill="auto"/>
          </w:tcPr>
          <w:p w14:paraId="1452F5AE" w14:textId="77777777" w:rsidR="00793575" w:rsidRPr="00793575" w:rsidRDefault="00793575" w:rsidP="002607B4">
            <w:pPr>
              <w:rPr>
                <w:szCs w:val="22"/>
              </w:rPr>
            </w:pPr>
            <w:r w:rsidRPr="00793575">
              <w:rPr>
                <w:b/>
                <w:bCs/>
                <w:szCs w:val="22"/>
              </w:rPr>
              <w:t>PERFORMANCE</w:t>
            </w:r>
          </w:p>
        </w:tc>
      </w:tr>
      <w:tr w:rsidR="00793575" w:rsidRPr="00793575" w14:paraId="3353835B" w14:textId="77777777" w:rsidTr="00992755">
        <w:trPr>
          <w:jc w:val="center"/>
        </w:trPr>
        <w:tc>
          <w:tcPr>
            <w:tcW w:w="3585" w:type="dxa"/>
            <w:shd w:val="clear" w:color="auto" w:fill="auto"/>
            <w:hideMark/>
          </w:tcPr>
          <w:p w14:paraId="3A1A2BCC" w14:textId="77777777" w:rsidR="00793575" w:rsidRPr="00793575" w:rsidRDefault="00793575" w:rsidP="007A5432">
            <w:pPr>
              <w:rPr>
                <w:szCs w:val="22"/>
              </w:rPr>
            </w:pPr>
            <w:r w:rsidRPr="00793575">
              <w:rPr>
                <w:szCs w:val="22"/>
              </w:rPr>
              <w:t>Cover Factor (6 in/hr event)</w:t>
            </w:r>
            <w:r w:rsidRPr="00992755">
              <w:rPr>
                <w:szCs w:val="22"/>
                <w:vertAlign w:val="superscript"/>
              </w:rPr>
              <w:t>1</w:t>
            </w:r>
          </w:p>
        </w:tc>
        <w:tc>
          <w:tcPr>
            <w:tcW w:w="2316" w:type="dxa"/>
            <w:shd w:val="clear" w:color="auto" w:fill="auto"/>
            <w:hideMark/>
          </w:tcPr>
          <w:p w14:paraId="190F0BDA" w14:textId="77777777" w:rsidR="00793575" w:rsidRPr="00793575" w:rsidRDefault="00793575" w:rsidP="007A5432">
            <w:pPr>
              <w:jc w:val="center"/>
              <w:rPr>
                <w:szCs w:val="22"/>
              </w:rPr>
            </w:pPr>
            <w:r w:rsidRPr="00793575">
              <w:rPr>
                <w:szCs w:val="22"/>
              </w:rPr>
              <w:t>Large Scale Testing</w:t>
            </w:r>
          </w:p>
        </w:tc>
        <w:tc>
          <w:tcPr>
            <w:tcW w:w="2307" w:type="dxa"/>
            <w:shd w:val="clear" w:color="auto" w:fill="auto"/>
            <w:hideMark/>
          </w:tcPr>
          <w:p w14:paraId="71465C65" w14:textId="77777777" w:rsidR="00793575" w:rsidRPr="00793575" w:rsidRDefault="00793575" w:rsidP="007A5432">
            <w:pPr>
              <w:jc w:val="center"/>
              <w:rPr>
                <w:szCs w:val="22"/>
              </w:rPr>
            </w:pPr>
            <w:r w:rsidRPr="00793575">
              <w:rPr>
                <w:szCs w:val="22"/>
              </w:rPr>
              <w:t>0.01</w:t>
            </w:r>
          </w:p>
        </w:tc>
      </w:tr>
      <w:tr w:rsidR="00793575" w:rsidRPr="00793575" w14:paraId="73B4DC08" w14:textId="77777777" w:rsidTr="00992755">
        <w:trPr>
          <w:jc w:val="center"/>
        </w:trPr>
        <w:tc>
          <w:tcPr>
            <w:tcW w:w="3585" w:type="dxa"/>
            <w:hideMark/>
          </w:tcPr>
          <w:p w14:paraId="25E30CDB" w14:textId="77777777" w:rsidR="00793575" w:rsidRPr="00793575" w:rsidRDefault="00793575" w:rsidP="007A5432">
            <w:pPr>
              <w:rPr>
                <w:szCs w:val="22"/>
              </w:rPr>
            </w:pPr>
            <w:r w:rsidRPr="00793575">
              <w:rPr>
                <w:szCs w:val="22"/>
              </w:rPr>
              <w:t>% Effectiveness</w:t>
            </w:r>
          </w:p>
        </w:tc>
        <w:tc>
          <w:tcPr>
            <w:tcW w:w="2316" w:type="dxa"/>
            <w:hideMark/>
          </w:tcPr>
          <w:p w14:paraId="1270FC63" w14:textId="77777777" w:rsidR="00793575" w:rsidRPr="00793575" w:rsidRDefault="00793575" w:rsidP="007A5432">
            <w:pPr>
              <w:jc w:val="center"/>
              <w:rPr>
                <w:szCs w:val="22"/>
              </w:rPr>
            </w:pPr>
            <w:r w:rsidRPr="00793575">
              <w:rPr>
                <w:szCs w:val="22"/>
              </w:rPr>
              <w:t>Large Scale Testing</w:t>
            </w:r>
          </w:p>
        </w:tc>
        <w:tc>
          <w:tcPr>
            <w:tcW w:w="2307" w:type="dxa"/>
            <w:hideMark/>
          </w:tcPr>
          <w:p w14:paraId="138F18BE" w14:textId="77777777" w:rsidR="00793575" w:rsidRPr="00793575" w:rsidRDefault="00793575" w:rsidP="007A5432">
            <w:pPr>
              <w:jc w:val="center"/>
              <w:rPr>
                <w:szCs w:val="22"/>
              </w:rPr>
            </w:pPr>
            <w:r w:rsidRPr="00793575">
              <w:rPr>
                <w:szCs w:val="22"/>
              </w:rPr>
              <w:t>≥ 99%</w:t>
            </w:r>
          </w:p>
        </w:tc>
      </w:tr>
      <w:tr w:rsidR="00793575" w:rsidRPr="00793575" w14:paraId="303C9444" w14:textId="77777777" w:rsidTr="00992755">
        <w:trPr>
          <w:jc w:val="center"/>
        </w:trPr>
        <w:tc>
          <w:tcPr>
            <w:tcW w:w="3585" w:type="dxa"/>
          </w:tcPr>
          <w:p w14:paraId="7C6A02C8" w14:textId="77777777" w:rsidR="00793575" w:rsidRPr="00793575" w:rsidRDefault="00793575" w:rsidP="007A5432">
            <w:pPr>
              <w:rPr>
                <w:szCs w:val="22"/>
              </w:rPr>
            </w:pPr>
            <w:r w:rsidRPr="00793575">
              <w:rPr>
                <w:szCs w:val="22"/>
              </w:rPr>
              <w:t>Cure Time</w:t>
            </w:r>
          </w:p>
        </w:tc>
        <w:tc>
          <w:tcPr>
            <w:tcW w:w="2316" w:type="dxa"/>
          </w:tcPr>
          <w:p w14:paraId="09F9B7CF" w14:textId="77777777" w:rsidR="00793575" w:rsidRPr="00793575" w:rsidRDefault="00793575" w:rsidP="007A5432">
            <w:pPr>
              <w:jc w:val="center"/>
              <w:rPr>
                <w:szCs w:val="22"/>
              </w:rPr>
            </w:pPr>
            <w:r w:rsidRPr="00793575">
              <w:rPr>
                <w:szCs w:val="22"/>
              </w:rPr>
              <w:t>Observed</w:t>
            </w:r>
          </w:p>
        </w:tc>
        <w:tc>
          <w:tcPr>
            <w:tcW w:w="2307" w:type="dxa"/>
          </w:tcPr>
          <w:p w14:paraId="4C0D2B22" w14:textId="77777777" w:rsidR="00793575" w:rsidRPr="00793575" w:rsidRDefault="00793575" w:rsidP="007A5432">
            <w:pPr>
              <w:jc w:val="center"/>
              <w:rPr>
                <w:szCs w:val="22"/>
              </w:rPr>
            </w:pPr>
            <w:r w:rsidRPr="00793575">
              <w:rPr>
                <w:szCs w:val="22"/>
              </w:rPr>
              <w:t>0-2 hours</w:t>
            </w:r>
          </w:p>
        </w:tc>
      </w:tr>
      <w:tr w:rsidR="00793575" w:rsidRPr="00793575" w14:paraId="46940CD5" w14:textId="77777777" w:rsidTr="00992755">
        <w:trPr>
          <w:jc w:val="center"/>
        </w:trPr>
        <w:tc>
          <w:tcPr>
            <w:tcW w:w="3585" w:type="dxa"/>
            <w:hideMark/>
          </w:tcPr>
          <w:p w14:paraId="1F10B12C" w14:textId="77777777" w:rsidR="00793575" w:rsidRPr="00793575" w:rsidRDefault="00793575" w:rsidP="002607B4">
            <w:pPr>
              <w:rPr>
                <w:szCs w:val="22"/>
              </w:rPr>
            </w:pPr>
            <w:r w:rsidRPr="00793575">
              <w:rPr>
                <w:szCs w:val="22"/>
              </w:rPr>
              <w:t>Functional Longevity</w:t>
            </w:r>
          </w:p>
        </w:tc>
        <w:tc>
          <w:tcPr>
            <w:tcW w:w="2316" w:type="dxa"/>
            <w:hideMark/>
          </w:tcPr>
          <w:p w14:paraId="5E69AEDD" w14:textId="77777777" w:rsidR="00793575" w:rsidRPr="00793575" w:rsidRDefault="00793575" w:rsidP="002607B4">
            <w:pPr>
              <w:jc w:val="center"/>
              <w:rPr>
                <w:szCs w:val="22"/>
              </w:rPr>
            </w:pPr>
            <w:r w:rsidRPr="00793575">
              <w:rPr>
                <w:szCs w:val="22"/>
              </w:rPr>
              <w:t>ASTM D5338</w:t>
            </w:r>
          </w:p>
        </w:tc>
        <w:tc>
          <w:tcPr>
            <w:tcW w:w="2307" w:type="dxa"/>
            <w:hideMark/>
          </w:tcPr>
          <w:p w14:paraId="176631E0" w14:textId="77777777" w:rsidR="00793575" w:rsidRPr="00793575" w:rsidRDefault="00793575" w:rsidP="002607B4">
            <w:pPr>
              <w:jc w:val="center"/>
              <w:rPr>
                <w:szCs w:val="22"/>
                <w:vertAlign w:val="superscript"/>
              </w:rPr>
            </w:pPr>
            <w:r w:rsidRPr="00793575">
              <w:rPr>
                <w:szCs w:val="22"/>
              </w:rPr>
              <w:t>≤ 18 months</w:t>
            </w:r>
          </w:p>
        </w:tc>
      </w:tr>
      <w:tr w:rsidR="00793575" w:rsidRPr="00793575" w14:paraId="2E8D39F4" w14:textId="77777777" w:rsidTr="00992755">
        <w:trPr>
          <w:jc w:val="center"/>
        </w:trPr>
        <w:tc>
          <w:tcPr>
            <w:tcW w:w="3585" w:type="dxa"/>
            <w:hideMark/>
          </w:tcPr>
          <w:p w14:paraId="38BD1288" w14:textId="77777777" w:rsidR="00793575" w:rsidRPr="00793575" w:rsidRDefault="00793575" w:rsidP="002607B4">
            <w:pPr>
              <w:rPr>
                <w:szCs w:val="22"/>
              </w:rPr>
            </w:pPr>
            <w:r w:rsidRPr="00793575">
              <w:rPr>
                <w:szCs w:val="22"/>
              </w:rPr>
              <w:t>Vegetation Enhancement</w:t>
            </w:r>
          </w:p>
        </w:tc>
        <w:tc>
          <w:tcPr>
            <w:tcW w:w="2316" w:type="dxa"/>
            <w:hideMark/>
          </w:tcPr>
          <w:p w14:paraId="487CCC5D" w14:textId="77777777" w:rsidR="00793575" w:rsidRPr="00793575" w:rsidRDefault="00793575" w:rsidP="002607B4">
            <w:pPr>
              <w:jc w:val="center"/>
              <w:rPr>
                <w:szCs w:val="22"/>
              </w:rPr>
            </w:pPr>
            <w:r w:rsidRPr="00793575">
              <w:rPr>
                <w:szCs w:val="22"/>
              </w:rPr>
              <w:t>ASTM D7322</w:t>
            </w:r>
          </w:p>
        </w:tc>
        <w:tc>
          <w:tcPr>
            <w:tcW w:w="2307" w:type="dxa"/>
          </w:tcPr>
          <w:p w14:paraId="76B8E745" w14:textId="77777777" w:rsidR="00793575" w:rsidRPr="00793575" w:rsidRDefault="00793575" w:rsidP="002607B4">
            <w:pPr>
              <w:jc w:val="center"/>
              <w:rPr>
                <w:szCs w:val="22"/>
              </w:rPr>
            </w:pPr>
            <w:r w:rsidRPr="00793575">
              <w:rPr>
                <w:szCs w:val="22"/>
              </w:rPr>
              <w:t>≥ 800%</w:t>
            </w:r>
          </w:p>
        </w:tc>
      </w:tr>
      <w:tr w:rsidR="00793575" w:rsidRPr="00793575" w14:paraId="269D9C30" w14:textId="77777777" w:rsidTr="00992755">
        <w:trPr>
          <w:jc w:val="center"/>
        </w:trPr>
        <w:tc>
          <w:tcPr>
            <w:tcW w:w="8208" w:type="dxa"/>
            <w:gridSpan w:val="3"/>
          </w:tcPr>
          <w:p w14:paraId="7AF51117" w14:textId="77777777" w:rsidR="00793575" w:rsidRPr="00793575" w:rsidRDefault="00793575" w:rsidP="002607B4">
            <w:pPr>
              <w:rPr>
                <w:szCs w:val="22"/>
              </w:rPr>
            </w:pPr>
            <w:r w:rsidRPr="00793575">
              <w:rPr>
                <w:b/>
                <w:bCs/>
                <w:szCs w:val="22"/>
              </w:rPr>
              <w:t>ENVIRONMENTAL</w:t>
            </w:r>
          </w:p>
        </w:tc>
      </w:tr>
      <w:tr w:rsidR="00793575" w:rsidRPr="00793575" w14:paraId="0FE8E053" w14:textId="77777777" w:rsidTr="00992755">
        <w:trPr>
          <w:jc w:val="center"/>
        </w:trPr>
        <w:tc>
          <w:tcPr>
            <w:tcW w:w="3585" w:type="dxa"/>
          </w:tcPr>
          <w:p w14:paraId="077DA898" w14:textId="77777777" w:rsidR="00793575" w:rsidRPr="00793575" w:rsidRDefault="00793575" w:rsidP="002607B4">
            <w:pPr>
              <w:rPr>
                <w:szCs w:val="22"/>
              </w:rPr>
            </w:pPr>
            <w:r w:rsidRPr="00793575">
              <w:rPr>
                <w:szCs w:val="22"/>
              </w:rPr>
              <w:t>Ecotoxicity</w:t>
            </w:r>
          </w:p>
        </w:tc>
        <w:tc>
          <w:tcPr>
            <w:tcW w:w="2316" w:type="dxa"/>
          </w:tcPr>
          <w:p w14:paraId="7AB989CF" w14:textId="77777777" w:rsidR="00793575" w:rsidRPr="00793575" w:rsidRDefault="00793575" w:rsidP="002607B4">
            <w:pPr>
              <w:jc w:val="center"/>
              <w:rPr>
                <w:szCs w:val="22"/>
              </w:rPr>
            </w:pPr>
            <w:r w:rsidRPr="00793575">
              <w:rPr>
                <w:szCs w:val="22"/>
              </w:rPr>
              <w:t>EPA 2021.0</w:t>
            </w:r>
          </w:p>
        </w:tc>
        <w:tc>
          <w:tcPr>
            <w:tcW w:w="2307" w:type="dxa"/>
          </w:tcPr>
          <w:p w14:paraId="3AE8CC0D" w14:textId="77777777" w:rsidR="00793575" w:rsidRPr="00793575" w:rsidRDefault="00793575" w:rsidP="002607B4">
            <w:pPr>
              <w:jc w:val="center"/>
              <w:rPr>
                <w:szCs w:val="22"/>
              </w:rPr>
            </w:pPr>
            <w:r w:rsidRPr="00793575">
              <w:rPr>
                <w:szCs w:val="22"/>
              </w:rPr>
              <w:t>48-hr LC</w:t>
            </w:r>
            <w:r w:rsidRPr="00793575">
              <w:rPr>
                <w:szCs w:val="22"/>
                <w:vertAlign w:val="subscript"/>
              </w:rPr>
              <w:t>50</w:t>
            </w:r>
            <w:r w:rsidRPr="00793575">
              <w:rPr>
                <w:szCs w:val="22"/>
              </w:rPr>
              <w:t xml:space="preserve"> &gt; 100%</w:t>
            </w:r>
          </w:p>
        </w:tc>
      </w:tr>
      <w:tr w:rsidR="00793575" w:rsidRPr="00793575" w14:paraId="53F2718A" w14:textId="77777777" w:rsidTr="00992755">
        <w:trPr>
          <w:jc w:val="center"/>
        </w:trPr>
        <w:tc>
          <w:tcPr>
            <w:tcW w:w="3585" w:type="dxa"/>
          </w:tcPr>
          <w:p w14:paraId="73F27C35" w14:textId="77777777" w:rsidR="00793575" w:rsidRPr="00793575" w:rsidRDefault="00793575" w:rsidP="002607B4">
            <w:pPr>
              <w:rPr>
                <w:szCs w:val="22"/>
              </w:rPr>
            </w:pPr>
            <w:r w:rsidRPr="00793575">
              <w:rPr>
                <w:szCs w:val="22"/>
              </w:rPr>
              <w:t>Effluent Turbidity</w:t>
            </w:r>
          </w:p>
        </w:tc>
        <w:tc>
          <w:tcPr>
            <w:tcW w:w="2316" w:type="dxa"/>
          </w:tcPr>
          <w:p w14:paraId="3893F5F7" w14:textId="77777777" w:rsidR="00793575" w:rsidRPr="00793575" w:rsidRDefault="00793575" w:rsidP="002607B4">
            <w:pPr>
              <w:jc w:val="center"/>
              <w:rPr>
                <w:szCs w:val="22"/>
              </w:rPr>
            </w:pPr>
            <w:r w:rsidRPr="00793575">
              <w:rPr>
                <w:szCs w:val="22"/>
              </w:rPr>
              <w:t>Large Scale Testing</w:t>
            </w:r>
          </w:p>
        </w:tc>
        <w:tc>
          <w:tcPr>
            <w:tcW w:w="2307" w:type="dxa"/>
          </w:tcPr>
          <w:p w14:paraId="1F4FD030" w14:textId="77777777" w:rsidR="00793575" w:rsidRPr="00793575" w:rsidRDefault="00793575" w:rsidP="002607B4">
            <w:pPr>
              <w:jc w:val="center"/>
              <w:rPr>
                <w:szCs w:val="22"/>
              </w:rPr>
            </w:pPr>
            <w:r w:rsidRPr="00793575">
              <w:rPr>
                <w:szCs w:val="22"/>
              </w:rPr>
              <w:t>≤ 250 NTU</w:t>
            </w:r>
          </w:p>
        </w:tc>
      </w:tr>
      <w:tr w:rsidR="00793575" w:rsidRPr="00793575" w14:paraId="0E4A0C23" w14:textId="77777777" w:rsidTr="00992755">
        <w:trPr>
          <w:jc w:val="center"/>
        </w:trPr>
        <w:tc>
          <w:tcPr>
            <w:tcW w:w="3585" w:type="dxa"/>
          </w:tcPr>
          <w:p w14:paraId="16FAAC81" w14:textId="77777777" w:rsidR="00793575" w:rsidRPr="00793575" w:rsidRDefault="00793575" w:rsidP="002607B4">
            <w:pPr>
              <w:rPr>
                <w:szCs w:val="22"/>
              </w:rPr>
            </w:pPr>
            <w:r w:rsidRPr="00793575">
              <w:rPr>
                <w:szCs w:val="22"/>
              </w:rPr>
              <w:t>Biodegradability</w:t>
            </w:r>
          </w:p>
        </w:tc>
        <w:tc>
          <w:tcPr>
            <w:tcW w:w="2316" w:type="dxa"/>
          </w:tcPr>
          <w:p w14:paraId="29B87D86" w14:textId="77777777" w:rsidR="00793575" w:rsidRPr="00793575" w:rsidRDefault="00793575" w:rsidP="002607B4">
            <w:pPr>
              <w:jc w:val="center"/>
              <w:rPr>
                <w:szCs w:val="22"/>
              </w:rPr>
            </w:pPr>
            <w:r w:rsidRPr="00793575">
              <w:rPr>
                <w:szCs w:val="22"/>
              </w:rPr>
              <w:t>ASTM D5338</w:t>
            </w:r>
          </w:p>
        </w:tc>
        <w:tc>
          <w:tcPr>
            <w:tcW w:w="2307" w:type="dxa"/>
          </w:tcPr>
          <w:p w14:paraId="25B43B0C" w14:textId="77777777" w:rsidR="00793575" w:rsidRPr="00793575" w:rsidRDefault="00793575" w:rsidP="002607B4">
            <w:pPr>
              <w:jc w:val="center"/>
              <w:rPr>
                <w:szCs w:val="22"/>
              </w:rPr>
            </w:pPr>
            <w:r w:rsidRPr="00793575">
              <w:rPr>
                <w:szCs w:val="22"/>
              </w:rPr>
              <w:t>Yes</w:t>
            </w:r>
          </w:p>
        </w:tc>
      </w:tr>
    </w:tbl>
    <w:p w14:paraId="49C046D9" w14:textId="77777777" w:rsidR="00793575" w:rsidRPr="00992755" w:rsidRDefault="00793575" w:rsidP="00992755">
      <w:pPr>
        <w:pStyle w:val="PR1"/>
        <w:numPr>
          <w:ilvl w:val="0"/>
          <w:numId w:val="0"/>
        </w:numPr>
        <w:spacing w:before="120"/>
        <w:ind w:left="633" w:right="634" w:hanging="86"/>
        <w:rPr>
          <w:i/>
          <w:iCs/>
          <w:szCs w:val="22"/>
        </w:rPr>
      </w:pPr>
      <w:r w:rsidRPr="00992755">
        <w:rPr>
          <w:i/>
          <w:iCs/>
          <w:szCs w:val="22"/>
          <w:vertAlign w:val="superscript"/>
        </w:rPr>
        <w:t>1</w:t>
      </w:r>
      <w:r w:rsidRPr="00793575">
        <w:rPr>
          <w:i/>
          <w:iCs/>
          <w:szCs w:val="22"/>
          <w:vertAlign w:val="superscript"/>
        </w:rPr>
        <w:t xml:space="preserve"> </w:t>
      </w:r>
      <w:r w:rsidRPr="00793575">
        <w:rPr>
          <w:i/>
          <w:iCs/>
          <w:szCs w:val="22"/>
        </w:rPr>
        <w:t>Cover Factor is calculated as soil loss ratio of treated surface versus an untreated control surface.  One minus Cover Factor multiplied by 100% equals % Effectiveness.</w:t>
      </w:r>
    </w:p>
    <w:p w14:paraId="706ACC25" w14:textId="1625271B" w:rsidR="00793575" w:rsidRPr="00992755" w:rsidRDefault="00793575" w:rsidP="00992755">
      <w:pPr>
        <w:pStyle w:val="PR2"/>
        <w:numPr>
          <w:ilvl w:val="5"/>
          <w:numId w:val="11"/>
        </w:numPr>
        <w:contextualSpacing w:val="0"/>
        <w:rPr>
          <w:szCs w:val="22"/>
        </w:rPr>
      </w:pPr>
      <w:r w:rsidRPr="00793575">
        <w:rPr>
          <w:szCs w:val="22"/>
        </w:rPr>
        <w:t>Approved equivalent</w:t>
      </w:r>
      <w:r w:rsidRPr="00992755">
        <w:rPr>
          <w:szCs w:val="22"/>
        </w:rPr>
        <w:t>.</w:t>
      </w:r>
    </w:p>
    <w:p w14:paraId="4C269510" w14:textId="77777777" w:rsidR="00793575" w:rsidRPr="00793575" w:rsidRDefault="00793575" w:rsidP="00793575">
      <w:pPr>
        <w:pStyle w:val="PR1"/>
        <w:numPr>
          <w:ilvl w:val="4"/>
          <w:numId w:val="11"/>
        </w:numPr>
        <w:rPr>
          <w:szCs w:val="22"/>
        </w:rPr>
      </w:pPr>
      <w:r w:rsidRPr="00793575">
        <w:rPr>
          <w:szCs w:val="22"/>
        </w:rPr>
        <w:t>Composition: All components of the FGM shall be pre-packaged by the Manufacturer to assure material performance and in compliance with the following values. Under no circumstances will field mixing of additives or components be accepted:</w:t>
      </w:r>
    </w:p>
    <w:p w14:paraId="7F3156C2" w14:textId="77777777" w:rsidR="00793575" w:rsidRPr="00793575" w:rsidRDefault="00793575" w:rsidP="00992755">
      <w:pPr>
        <w:pStyle w:val="PR2"/>
        <w:numPr>
          <w:ilvl w:val="5"/>
          <w:numId w:val="11"/>
        </w:numPr>
        <w:contextualSpacing w:val="0"/>
        <w:rPr>
          <w:szCs w:val="22"/>
        </w:rPr>
      </w:pPr>
      <w:r w:rsidRPr="00793575">
        <w:rPr>
          <w:szCs w:val="22"/>
        </w:rPr>
        <w:t>Thermally Processed Wood Fibers:  80%</w:t>
      </w:r>
    </w:p>
    <w:p w14:paraId="22DA496A" w14:textId="77777777" w:rsidR="00793575" w:rsidRPr="00793575" w:rsidRDefault="00793575" w:rsidP="00793575">
      <w:pPr>
        <w:pStyle w:val="PR2"/>
        <w:numPr>
          <w:ilvl w:val="5"/>
          <w:numId w:val="11"/>
        </w:numPr>
        <w:spacing w:before="0"/>
        <w:contextualSpacing w:val="0"/>
        <w:rPr>
          <w:szCs w:val="22"/>
        </w:rPr>
      </w:pPr>
      <w:r w:rsidRPr="00793575">
        <w:rPr>
          <w:szCs w:val="22"/>
        </w:rPr>
        <w:t xml:space="preserve">Wetting agents (including high-viscosity colloidal polysaccharides, cross-linked biopolymers, and water absorbents):  10% </w:t>
      </w:r>
    </w:p>
    <w:p w14:paraId="2B3F2194" w14:textId="77777777" w:rsidR="00793575" w:rsidRPr="00793575" w:rsidRDefault="00793575" w:rsidP="00793575">
      <w:pPr>
        <w:pStyle w:val="PR2"/>
        <w:numPr>
          <w:ilvl w:val="5"/>
          <w:numId w:val="11"/>
        </w:numPr>
        <w:spacing w:before="0"/>
        <w:contextualSpacing w:val="0"/>
        <w:rPr>
          <w:szCs w:val="22"/>
        </w:rPr>
      </w:pPr>
      <w:r w:rsidRPr="00793575">
        <w:rPr>
          <w:szCs w:val="22"/>
        </w:rPr>
        <w:t>Proprietary Crimped, Interlocking Fibers:  5%</w:t>
      </w:r>
    </w:p>
    <w:p w14:paraId="2FF7FBD7" w14:textId="77777777" w:rsidR="00793575" w:rsidRPr="00793575" w:rsidRDefault="00793575" w:rsidP="00793575">
      <w:pPr>
        <w:pStyle w:val="PR2"/>
        <w:numPr>
          <w:ilvl w:val="5"/>
          <w:numId w:val="11"/>
        </w:numPr>
        <w:spacing w:before="0"/>
        <w:contextualSpacing w:val="0"/>
        <w:rPr>
          <w:szCs w:val="22"/>
        </w:rPr>
      </w:pPr>
      <w:r w:rsidRPr="00793575">
        <w:rPr>
          <w:szCs w:val="22"/>
        </w:rPr>
        <w:t>Micro-Pore Granules: 5%</w:t>
      </w:r>
    </w:p>
    <w:p w14:paraId="57852F1C" w14:textId="77777777" w:rsidR="00793575" w:rsidRPr="00793575" w:rsidRDefault="00793575" w:rsidP="00793575">
      <w:pPr>
        <w:pStyle w:val="PR1"/>
        <w:numPr>
          <w:ilvl w:val="4"/>
          <w:numId w:val="11"/>
        </w:numPr>
        <w:rPr>
          <w:szCs w:val="22"/>
        </w:rPr>
      </w:pPr>
      <w:r w:rsidRPr="00793575">
        <w:rPr>
          <w:szCs w:val="22"/>
        </w:rPr>
        <w:t>Packaging</w:t>
      </w:r>
    </w:p>
    <w:p w14:paraId="2B6D345E" w14:textId="77777777" w:rsidR="00793575" w:rsidRPr="00793575" w:rsidRDefault="00793575" w:rsidP="00992755">
      <w:pPr>
        <w:pStyle w:val="PR2"/>
        <w:numPr>
          <w:ilvl w:val="5"/>
          <w:numId w:val="11"/>
        </w:numPr>
        <w:contextualSpacing w:val="0"/>
        <w:rPr>
          <w:szCs w:val="22"/>
        </w:rPr>
      </w:pPr>
      <w:r w:rsidRPr="00793575">
        <w:rPr>
          <w:szCs w:val="22"/>
        </w:rPr>
        <w:t>Bags: Net Weight - 50 lb, UV and weather-resistant plastic film.</w:t>
      </w:r>
    </w:p>
    <w:p w14:paraId="177EC2E8" w14:textId="77777777" w:rsidR="00793575" w:rsidRPr="00793575" w:rsidRDefault="00793575" w:rsidP="00793575">
      <w:pPr>
        <w:pStyle w:val="PR2"/>
        <w:numPr>
          <w:ilvl w:val="5"/>
          <w:numId w:val="11"/>
        </w:numPr>
        <w:spacing w:before="0"/>
        <w:contextualSpacing w:val="0"/>
        <w:rPr>
          <w:szCs w:val="22"/>
        </w:rPr>
      </w:pPr>
      <w:r w:rsidRPr="00793575">
        <w:rPr>
          <w:szCs w:val="22"/>
        </w:rPr>
        <w:t>Pallets: Weather-proof, stretch-wrapped with UV resistant pallet cover 40 bags/pallet or 1 ton/pallet.</w:t>
      </w:r>
    </w:p>
    <w:p w14:paraId="75080011" w14:textId="77777777" w:rsidR="00793575" w:rsidRPr="00793575" w:rsidRDefault="00793575" w:rsidP="00793575">
      <w:pPr>
        <w:pStyle w:val="ART"/>
        <w:numPr>
          <w:ilvl w:val="3"/>
          <w:numId w:val="11"/>
        </w:numPr>
        <w:rPr>
          <w:szCs w:val="22"/>
        </w:rPr>
      </w:pPr>
      <w:r w:rsidRPr="00793575">
        <w:rPr>
          <w:szCs w:val="22"/>
        </w:rPr>
        <w:t>FERTILIZER</w:t>
      </w:r>
    </w:p>
    <w:p w14:paraId="4EF77872" w14:textId="77777777" w:rsidR="00793575" w:rsidRPr="00793575" w:rsidRDefault="00793575" w:rsidP="00793575">
      <w:pPr>
        <w:pStyle w:val="PR1"/>
        <w:numPr>
          <w:ilvl w:val="4"/>
          <w:numId w:val="11"/>
        </w:numPr>
        <w:rPr>
          <w:szCs w:val="22"/>
        </w:rPr>
      </w:pPr>
      <w:r w:rsidRPr="00793575">
        <w:rPr>
          <w:szCs w:val="22"/>
        </w:rPr>
        <w:t>Fertilizer: Mixed commercial fertilizers shall contain total nitrogen, available phosphoric acid and soluble potash in the ratio of 10-6-4 (50% N/UF).  50% of total nitrogen shall be derived from ureaform furnishing a minimum of 3.5% water insoluble nitrogen (3.5% WIN).  The balance of the nitrogen shall be present as methylene urea, water soluble urea, nitrate and ammoniacal compounds.</w:t>
      </w:r>
    </w:p>
    <w:p w14:paraId="06D49964" w14:textId="77777777" w:rsidR="00793575" w:rsidRPr="00793575" w:rsidRDefault="00793575" w:rsidP="00793575">
      <w:pPr>
        <w:pStyle w:val="ART"/>
        <w:numPr>
          <w:ilvl w:val="3"/>
          <w:numId w:val="11"/>
        </w:numPr>
        <w:rPr>
          <w:szCs w:val="22"/>
        </w:rPr>
      </w:pPr>
      <w:r w:rsidRPr="00793575">
        <w:rPr>
          <w:szCs w:val="22"/>
        </w:rPr>
        <w:t>SEED</w:t>
      </w:r>
    </w:p>
    <w:p w14:paraId="250D3AFD" w14:textId="77777777" w:rsidR="00793575" w:rsidRPr="00793575" w:rsidRDefault="00793575" w:rsidP="00793575">
      <w:pPr>
        <w:pStyle w:val="PR1"/>
        <w:numPr>
          <w:ilvl w:val="4"/>
          <w:numId w:val="11"/>
        </w:numPr>
        <w:rPr>
          <w:szCs w:val="22"/>
        </w:rPr>
      </w:pPr>
      <w:r w:rsidRPr="00793575">
        <w:rPr>
          <w:szCs w:val="22"/>
        </w:rPr>
        <w:t>Furnish fresh, clean, new-crop seed mixed in the proportions specified for species and variety, and conforming to Federal and State Standards.</w:t>
      </w:r>
    </w:p>
    <w:p w14:paraId="079CD574" w14:textId="77777777" w:rsidR="00793575" w:rsidRPr="00793575" w:rsidRDefault="00793575" w:rsidP="00793575">
      <w:pPr>
        <w:pStyle w:val="PR1"/>
        <w:numPr>
          <w:ilvl w:val="4"/>
          <w:numId w:val="11"/>
        </w:numPr>
        <w:rPr>
          <w:szCs w:val="22"/>
        </w:rPr>
      </w:pPr>
      <w:r w:rsidRPr="00793575">
        <w:rPr>
          <w:szCs w:val="22"/>
        </w:rPr>
        <w:t>Acceptable material in a seed mixture other than pure live seed consists of nonviable seed, chaff, hulls, live seed of crop plants and inert matter.  The percentage of weed seed shall not exceed 0.1 percent by weight.</w:t>
      </w:r>
    </w:p>
    <w:p w14:paraId="26B578F1" w14:textId="77777777" w:rsidR="00793575" w:rsidRPr="00793575" w:rsidRDefault="00793575" w:rsidP="00793575">
      <w:pPr>
        <w:pStyle w:val="PR1"/>
        <w:numPr>
          <w:ilvl w:val="4"/>
          <w:numId w:val="11"/>
        </w:numPr>
        <w:rPr>
          <w:szCs w:val="22"/>
        </w:rPr>
      </w:pPr>
      <w:r w:rsidRPr="00793575">
        <w:rPr>
          <w:szCs w:val="22"/>
        </w:rPr>
        <w:t>All seed will be rejected if the label or test analysis indicates any of the following contaminates:  Timothy, Orchard Grass, Sheep Fescue, Meadow Fescue, Canada Blue Grass, Alta Fescue, Kentucky 31 Fescue, and Bent Grass.</w:t>
      </w:r>
    </w:p>
    <w:p w14:paraId="1AED7910" w14:textId="77777777" w:rsidR="00793575" w:rsidRPr="00793575" w:rsidRDefault="00793575" w:rsidP="00793575">
      <w:pPr>
        <w:pStyle w:val="PR1"/>
        <w:numPr>
          <w:ilvl w:val="4"/>
          <w:numId w:val="11"/>
        </w:numPr>
        <w:rPr>
          <w:szCs w:val="22"/>
        </w:rPr>
      </w:pPr>
      <w:r w:rsidRPr="00793575">
        <w:rPr>
          <w:szCs w:val="22"/>
        </w:rPr>
        <w:t>Provide the following seed mixture:</w:t>
      </w:r>
    </w:p>
    <w:p w14:paraId="234A278B" w14:textId="77777777" w:rsidR="00793575" w:rsidRPr="00793575" w:rsidRDefault="00793575" w:rsidP="00646F19">
      <w:pPr>
        <w:ind w:left="1440" w:hanging="1440"/>
        <w:rPr>
          <w:szCs w:val="22"/>
        </w:rPr>
      </w:pPr>
    </w:p>
    <w:p w14:paraId="6EDBB2F8" w14:textId="2A59F11B" w:rsidR="00793575" w:rsidRPr="00793575" w:rsidRDefault="00793575" w:rsidP="00992755">
      <w:pPr>
        <w:ind w:left="1440"/>
        <w:rPr>
          <w:szCs w:val="22"/>
        </w:rPr>
      </w:pPr>
      <w:r w:rsidRPr="00793575">
        <w:rPr>
          <w:szCs w:val="22"/>
        </w:rPr>
        <w:t>A = Min. Percentage of Germination</w:t>
      </w:r>
    </w:p>
    <w:p w14:paraId="7D6DCC20" w14:textId="5783586C" w:rsidR="00793575" w:rsidRPr="00793575" w:rsidRDefault="00793575" w:rsidP="00992755">
      <w:pPr>
        <w:ind w:left="1440"/>
        <w:rPr>
          <w:szCs w:val="22"/>
        </w:rPr>
      </w:pPr>
      <w:r w:rsidRPr="00793575">
        <w:rPr>
          <w:szCs w:val="22"/>
        </w:rPr>
        <w:t>B = Min. Purity Percentage</w:t>
      </w:r>
    </w:p>
    <w:p w14:paraId="538B0247" w14:textId="1B43597B" w:rsidR="00793575" w:rsidRPr="00793575" w:rsidRDefault="00793575" w:rsidP="00992755">
      <w:pPr>
        <w:ind w:left="1440"/>
        <w:rPr>
          <w:b/>
          <w:bCs/>
          <w:szCs w:val="22"/>
          <w:u w:val="single"/>
        </w:rPr>
      </w:pPr>
      <w:r w:rsidRPr="00793575">
        <w:rPr>
          <w:szCs w:val="22"/>
        </w:rPr>
        <w:t>C = Weight Pure Live Seed in Mixture</w:t>
      </w:r>
    </w:p>
    <w:p w14:paraId="16E34EB6" w14:textId="77777777" w:rsidR="00793575" w:rsidRPr="00793575" w:rsidRDefault="00793575" w:rsidP="00646F19">
      <w:pPr>
        <w:keepNext/>
        <w:overflowPunct w:val="0"/>
        <w:autoSpaceDE w:val="0"/>
        <w:autoSpaceDN w:val="0"/>
        <w:adjustRightInd w:val="0"/>
        <w:jc w:val="center"/>
        <w:outlineLvl w:val="0"/>
        <w:rPr>
          <w:b/>
          <w:bCs/>
          <w:szCs w:val="22"/>
          <w:u w:val="single"/>
        </w:rPr>
      </w:pPr>
    </w:p>
    <w:p w14:paraId="294F6BB1" w14:textId="77777777" w:rsidR="00793575" w:rsidRPr="00793575" w:rsidRDefault="00793575" w:rsidP="00646F19">
      <w:pPr>
        <w:keepNext/>
        <w:overflowPunct w:val="0"/>
        <w:autoSpaceDE w:val="0"/>
        <w:autoSpaceDN w:val="0"/>
        <w:adjustRightInd w:val="0"/>
        <w:jc w:val="center"/>
        <w:outlineLvl w:val="0"/>
        <w:rPr>
          <w:b/>
          <w:bCs/>
          <w:szCs w:val="22"/>
        </w:rPr>
      </w:pPr>
      <w:r w:rsidRPr="00793575">
        <w:rPr>
          <w:b/>
          <w:bCs/>
          <w:szCs w:val="22"/>
          <w:u w:val="single"/>
        </w:rPr>
        <w:t>SEED MIX “A”</w:t>
      </w:r>
    </w:p>
    <w:p w14:paraId="66E33B64" w14:textId="77777777" w:rsidR="00793575" w:rsidRPr="00793575" w:rsidRDefault="00793575" w:rsidP="00646F19">
      <w:pPr>
        <w:tabs>
          <w:tab w:val="left" w:pos="720"/>
          <w:tab w:val="center" w:pos="4320"/>
          <w:tab w:val="right" w:pos="8640"/>
        </w:tabs>
        <w:overflowPunct w:val="0"/>
        <w:autoSpaceDE w:val="0"/>
        <w:autoSpaceDN w:val="0"/>
        <w:adjustRightInd w:val="0"/>
        <w:rPr>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150"/>
        <w:gridCol w:w="810"/>
        <w:gridCol w:w="990"/>
        <w:gridCol w:w="990"/>
      </w:tblGrid>
      <w:tr w:rsidR="00793575" w:rsidRPr="00793575" w14:paraId="4EFACAE9" w14:textId="77777777" w:rsidTr="00992755">
        <w:trPr>
          <w:tblHeader/>
        </w:trPr>
        <w:tc>
          <w:tcPr>
            <w:tcW w:w="2880" w:type="dxa"/>
            <w:hideMark/>
          </w:tcPr>
          <w:p w14:paraId="366A6038" w14:textId="77777777" w:rsidR="00793575" w:rsidRPr="00793575" w:rsidRDefault="00793575" w:rsidP="00646F19">
            <w:pPr>
              <w:overflowPunct w:val="0"/>
              <w:autoSpaceDE w:val="0"/>
              <w:autoSpaceDN w:val="0"/>
              <w:adjustRightInd w:val="0"/>
              <w:jc w:val="center"/>
              <w:rPr>
                <w:b/>
                <w:bCs/>
                <w:szCs w:val="22"/>
              </w:rPr>
            </w:pPr>
            <w:r w:rsidRPr="00793575">
              <w:rPr>
                <w:b/>
                <w:bCs/>
                <w:szCs w:val="22"/>
              </w:rPr>
              <w:t>Name</w:t>
            </w:r>
          </w:p>
        </w:tc>
        <w:tc>
          <w:tcPr>
            <w:tcW w:w="3150" w:type="dxa"/>
            <w:hideMark/>
          </w:tcPr>
          <w:p w14:paraId="29FA059C" w14:textId="77777777" w:rsidR="00793575" w:rsidRPr="00793575" w:rsidRDefault="00793575" w:rsidP="00646F19">
            <w:pPr>
              <w:overflowPunct w:val="0"/>
              <w:autoSpaceDE w:val="0"/>
              <w:autoSpaceDN w:val="0"/>
              <w:adjustRightInd w:val="0"/>
              <w:jc w:val="center"/>
              <w:rPr>
                <w:b/>
                <w:bCs/>
                <w:szCs w:val="22"/>
              </w:rPr>
            </w:pPr>
            <w:r w:rsidRPr="00793575">
              <w:rPr>
                <w:b/>
                <w:bCs/>
                <w:szCs w:val="22"/>
              </w:rPr>
              <w:t>Variety</w:t>
            </w:r>
          </w:p>
        </w:tc>
        <w:tc>
          <w:tcPr>
            <w:tcW w:w="810" w:type="dxa"/>
            <w:hideMark/>
          </w:tcPr>
          <w:p w14:paraId="77B5ED29" w14:textId="77777777" w:rsidR="00793575" w:rsidRPr="00793575" w:rsidRDefault="00793575" w:rsidP="00646F19">
            <w:pPr>
              <w:overflowPunct w:val="0"/>
              <w:autoSpaceDE w:val="0"/>
              <w:autoSpaceDN w:val="0"/>
              <w:adjustRightInd w:val="0"/>
              <w:jc w:val="center"/>
              <w:rPr>
                <w:b/>
                <w:bCs/>
                <w:szCs w:val="22"/>
              </w:rPr>
            </w:pPr>
            <w:r w:rsidRPr="00793575">
              <w:rPr>
                <w:b/>
                <w:bCs/>
                <w:szCs w:val="22"/>
              </w:rPr>
              <w:t>A</w:t>
            </w:r>
          </w:p>
        </w:tc>
        <w:tc>
          <w:tcPr>
            <w:tcW w:w="990" w:type="dxa"/>
            <w:hideMark/>
          </w:tcPr>
          <w:p w14:paraId="195846A4" w14:textId="77777777" w:rsidR="00793575" w:rsidRPr="00793575" w:rsidRDefault="00793575" w:rsidP="00646F19">
            <w:pPr>
              <w:overflowPunct w:val="0"/>
              <w:autoSpaceDE w:val="0"/>
              <w:autoSpaceDN w:val="0"/>
              <w:adjustRightInd w:val="0"/>
              <w:jc w:val="center"/>
              <w:rPr>
                <w:b/>
                <w:bCs/>
                <w:szCs w:val="22"/>
              </w:rPr>
            </w:pPr>
            <w:r w:rsidRPr="00793575">
              <w:rPr>
                <w:b/>
                <w:bCs/>
                <w:szCs w:val="22"/>
              </w:rPr>
              <w:t>B</w:t>
            </w:r>
          </w:p>
        </w:tc>
        <w:tc>
          <w:tcPr>
            <w:tcW w:w="990" w:type="dxa"/>
            <w:hideMark/>
          </w:tcPr>
          <w:p w14:paraId="6A9AC815" w14:textId="77777777" w:rsidR="00793575" w:rsidRPr="00793575" w:rsidRDefault="00793575" w:rsidP="00646F19">
            <w:pPr>
              <w:overflowPunct w:val="0"/>
              <w:autoSpaceDE w:val="0"/>
              <w:autoSpaceDN w:val="0"/>
              <w:adjustRightInd w:val="0"/>
              <w:jc w:val="center"/>
              <w:rPr>
                <w:b/>
                <w:bCs/>
                <w:szCs w:val="22"/>
              </w:rPr>
            </w:pPr>
            <w:r w:rsidRPr="00793575">
              <w:rPr>
                <w:b/>
                <w:bCs/>
                <w:szCs w:val="22"/>
              </w:rPr>
              <w:t>C</w:t>
            </w:r>
          </w:p>
        </w:tc>
      </w:tr>
      <w:tr w:rsidR="00793575" w:rsidRPr="00793575" w14:paraId="43B72CF9" w14:textId="77777777" w:rsidTr="00992755">
        <w:tc>
          <w:tcPr>
            <w:tcW w:w="2880" w:type="dxa"/>
            <w:hideMark/>
          </w:tcPr>
          <w:p w14:paraId="06471B19"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ind w:left="90"/>
              <w:rPr>
                <w:szCs w:val="22"/>
              </w:rPr>
            </w:pPr>
            <w:r w:rsidRPr="00793575">
              <w:rPr>
                <w:szCs w:val="22"/>
              </w:rPr>
              <w:t>Chewings Fescue</w:t>
            </w:r>
          </w:p>
          <w:p w14:paraId="70E74860"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after="42"/>
              <w:ind w:left="90"/>
              <w:rPr>
                <w:szCs w:val="22"/>
              </w:rPr>
            </w:pPr>
            <w:r w:rsidRPr="00793575">
              <w:rPr>
                <w:szCs w:val="22"/>
              </w:rPr>
              <w:t>(Festuca rubra commutata)</w:t>
            </w:r>
          </w:p>
        </w:tc>
        <w:tc>
          <w:tcPr>
            <w:tcW w:w="3150" w:type="dxa"/>
            <w:hideMark/>
          </w:tcPr>
          <w:p w14:paraId="73D070D9"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rPr>
                <w:szCs w:val="22"/>
              </w:rPr>
            </w:pPr>
            <w:r w:rsidRPr="00793575">
              <w:rPr>
                <w:szCs w:val="22"/>
              </w:rPr>
              <w:t>Banner, Highlight, Jamestown, or an approved equal.</w:t>
            </w:r>
          </w:p>
        </w:tc>
        <w:tc>
          <w:tcPr>
            <w:tcW w:w="810" w:type="dxa"/>
            <w:hideMark/>
          </w:tcPr>
          <w:p w14:paraId="1E863D47"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85</w:t>
            </w:r>
          </w:p>
        </w:tc>
        <w:tc>
          <w:tcPr>
            <w:tcW w:w="990" w:type="dxa"/>
            <w:hideMark/>
          </w:tcPr>
          <w:p w14:paraId="1EE99DCB"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97</w:t>
            </w:r>
          </w:p>
        </w:tc>
        <w:tc>
          <w:tcPr>
            <w:tcW w:w="990" w:type="dxa"/>
            <w:hideMark/>
          </w:tcPr>
          <w:p w14:paraId="035735CA"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20</w:t>
            </w:r>
          </w:p>
        </w:tc>
      </w:tr>
      <w:tr w:rsidR="00793575" w:rsidRPr="00793575" w14:paraId="2E50616C" w14:textId="77777777" w:rsidTr="00992755">
        <w:tc>
          <w:tcPr>
            <w:tcW w:w="2880" w:type="dxa"/>
            <w:hideMark/>
          </w:tcPr>
          <w:p w14:paraId="654514D6"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ind w:left="90"/>
              <w:rPr>
                <w:szCs w:val="22"/>
              </w:rPr>
            </w:pPr>
            <w:r w:rsidRPr="00793575">
              <w:rPr>
                <w:szCs w:val="22"/>
              </w:rPr>
              <w:t>Kentucky Bluegrass *</w:t>
            </w:r>
          </w:p>
          <w:p w14:paraId="263D416B"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after="42"/>
              <w:ind w:left="90"/>
              <w:rPr>
                <w:szCs w:val="22"/>
              </w:rPr>
            </w:pPr>
            <w:r w:rsidRPr="00793575">
              <w:rPr>
                <w:szCs w:val="22"/>
              </w:rPr>
              <w:t>(Poa pratensis)</w:t>
            </w:r>
          </w:p>
        </w:tc>
        <w:tc>
          <w:tcPr>
            <w:tcW w:w="3150" w:type="dxa"/>
            <w:hideMark/>
          </w:tcPr>
          <w:p w14:paraId="17035A06"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rPr>
                <w:szCs w:val="22"/>
              </w:rPr>
            </w:pPr>
            <w:r w:rsidRPr="00793575">
              <w:rPr>
                <w:szCs w:val="22"/>
              </w:rPr>
              <w:t>Barron, Flyking, Glade, or an approved equal.</w:t>
            </w:r>
          </w:p>
        </w:tc>
        <w:tc>
          <w:tcPr>
            <w:tcW w:w="810" w:type="dxa"/>
            <w:hideMark/>
          </w:tcPr>
          <w:p w14:paraId="76A15BD6"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80</w:t>
            </w:r>
          </w:p>
        </w:tc>
        <w:tc>
          <w:tcPr>
            <w:tcW w:w="990" w:type="dxa"/>
            <w:hideMark/>
          </w:tcPr>
          <w:p w14:paraId="274D21C5"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95</w:t>
            </w:r>
          </w:p>
        </w:tc>
        <w:tc>
          <w:tcPr>
            <w:tcW w:w="990" w:type="dxa"/>
            <w:hideMark/>
          </w:tcPr>
          <w:p w14:paraId="55155450"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15</w:t>
            </w:r>
          </w:p>
        </w:tc>
      </w:tr>
      <w:tr w:rsidR="00793575" w:rsidRPr="00793575" w14:paraId="676B8F89" w14:textId="77777777" w:rsidTr="00992755">
        <w:tc>
          <w:tcPr>
            <w:tcW w:w="2880" w:type="dxa"/>
            <w:hideMark/>
          </w:tcPr>
          <w:p w14:paraId="5CB63656"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ind w:left="90"/>
              <w:rPr>
                <w:szCs w:val="22"/>
              </w:rPr>
            </w:pPr>
            <w:r w:rsidRPr="00793575">
              <w:rPr>
                <w:szCs w:val="22"/>
              </w:rPr>
              <w:t>Perennial Ryegrass **</w:t>
            </w:r>
          </w:p>
          <w:p w14:paraId="554F73BB"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after="42"/>
              <w:ind w:left="90"/>
              <w:rPr>
                <w:szCs w:val="22"/>
              </w:rPr>
            </w:pPr>
            <w:r w:rsidRPr="00793575">
              <w:rPr>
                <w:szCs w:val="22"/>
              </w:rPr>
              <w:t>(Lolium perenne)</w:t>
            </w:r>
          </w:p>
        </w:tc>
        <w:tc>
          <w:tcPr>
            <w:tcW w:w="3150" w:type="dxa"/>
            <w:hideMark/>
          </w:tcPr>
          <w:p w14:paraId="6417BBC0"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rPr>
                <w:szCs w:val="22"/>
              </w:rPr>
            </w:pPr>
            <w:r w:rsidRPr="00793575">
              <w:rPr>
                <w:szCs w:val="22"/>
              </w:rPr>
              <w:t>Manhatten II, Pennfine, Yorktown II, or an approved equal.</w:t>
            </w:r>
          </w:p>
        </w:tc>
        <w:tc>
          <w:tcPr>
            <w:tcW w:w="810" w:type="dxa"/>
            <w:hideMark/>
          </w:tcPr>
          <w:p w14:paraId="7D8AA763"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90</w:t>
            </w:r>
          </w:p>
        </w:tc>
        <w:tc>
          <w:tcPr>
            <w:tcW w:w="990" w:type="dxa"/>
            <w:hideMark/>
          </w:tcPr>
          <w:p w14:paraId="4B447DB8"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98</w:t>
            </w:r>
          </w:p>
        </w:tc>
        <w:tc>
          <w:tcPr>
            <w:tcW w:w="990" w:type="dxa"/>
            <w:hideMark/>
          </w:tcPr>
          <w:p w14:paraId="1D97E652"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20</w:t>
            </w:r>
          </w:p>
        </w:tc>
      </w:tr>
      <w:tr w:rsidR="00793575" w:rsidRPr="00793575" w14:paraId="186DAAB1" w14:textId="77777777" w:rsidTr="00992755">
        <w:tc>
          <w:tcPr>
            <w:tcW w:w="2880" w:type="dxa"/>
            <w:hideMark/>
          </w:tcPr>
          <w:p w14:paraId="246E5A01"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ind w:left="90"/>
              <w:rPr>
                <w:szCs w:val="22"/>
              </w:rPr>
            </w:pPr>
            <w:r w:rsidRPr="00793575">
              <w:rPr>
                <w:szCs w:val="22"/>
              </w:rPr>
              <w:t>Annual Ryegrass</w:t>
            </w:r>
          </w:p>
        </w:tc>
        <w:tc>
          <w:tcPr>
            <w:tcW w:w="3150" w:type="dxa"/>
            <w:hideMark/>
          </w:tcPr>
          <w:p w14:paraId="387FAD08"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rPr>
                <w:szCs w:val="22"/>
              </w:rPr>
            </w:pPr>
            <w:r w:rsidRPr="00793575">
              <w:rPr>
                <w:szCs w:val="22"/>
              </w:rPr>
              <w:t>Commercial</w:t>
            </w:r>
          </w:p>
        </w:tc>
        <w:tc>
          <w:tcPr>
            <w:tcW w:w="810" w:type="dxa"/>
            <w:hideMark/>
          </w:tcPr>
          <w:p w14:paraId="151DEF7D"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98</w:t>
            </w:r>
          </w:p>
        </w:tc>
        <w:tc>
          <w:tcPr>
            <w:tcW w:w="990" w:type="dxa"/>
            <w:hideMark/>
          </w:tcPr>
          <w:p w14:paraId="3879513F"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97</w:t>
            </w:r>
          </w:p>
        </w:tc>
        <w:tc>
          <w:tcPr>
            <w:tcW w:w="990" w:type="dxa"/>
            <w:hideMark/>
          </w:tcPr>
          <w:p w14:paraId="212EB8A1" w14:textId="77777777" w:rsidR="00793575" w:rsidRPr="00793575" w:rsidRDefault="00793575" w:rsidP="00646F19">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overflowPunct w:val="0"/>
              <w:autoSpaceDE w:val="0"/>
              <w:autoSpaceDN w:val="0"/>
              <w:adjustRightInd w:val="0"/>
              <w:spacing w:before="84" w:after="42"/>
              <w:ind w:left="90"/>
              <w:jc w:val="center"/>
              <w:rPr>
                <w:szCs w:val="22"/>
              </w:rPr>
            </w:pPr>
            <w:r w:rsidRPr="00793575">
              <w:rPr>
                <w:szCs w:val="22"/>
              </w:rPr>
              <w:t>45</w:t>
            </w:r>
          </w:p>
        </w:tc>
      </w:tr>
    </w:tbl>
    <w:p w14:paraId="423A169A" w14:textId="77777777" w:rsidR="00793575" w:rsidRPr="00793575" w:rsidRDefault="00793575" w:rsidP="00793575">
      <w:pPr>
        <w:pStyle w:val="PRT"/>
        <w:numPr>
          <w:ilvl w:val="0"/>
          <w:numId w:val="11"/>
        </w:numPr>
        <w:rPr>
          <w:szCs w:val="22"/>
        </w:rPr>
      </w:pPr>
      <w:r w:rsidRPr="00793575">
        <w:rPr>
          <w:szCs w:val="22"/>
        </w:rPr>
        <w:t>EXECUTION</w:t>
      </w:r>
    </w:p>
    <w:p w14:paraId="4981E4AA" w14:textId="77777777" w:rsidR="00793575" w:rsidRPr="00793575" w:rsidRDefault="00793575" w:rsidP="00793575">
      <w:pPr>
        <w:pStyle w:val="ART"/>
        <w:numPr>
          <w:ilvl w:val="3"/>
          <w:numId w:val="11"/>
        </w:numPr>
        <w:rPr>
          <w:szCs w:val="22"/>
        </w:rPr>
      </w:pPr>
      <w:r w:rsidRPr="00793575">
        <w:rPr>
          <w:szCs w:val="22"/>
        </w:rPr>
        <w:t>SUBSTRATE AND SEEDBED PREPARATION</w:t>
      </w:r>
    </w:p>
    <w:p w14:paraId="172E3BFB" w14:textId="77777777" w:rsidR="00793575" w:rsidRPr="00793575" w:rsidRDefault="00793575" w:rsidP="00793575">
      <w:pPr>
        <w:pStyle w:val="PR1"/>
        <w:numPr>
          <w:ilvl w:val="4"/>
          <w:numId w:val="11"/>
        </w:numPr>
        <w:rPr>
          <w:szCs w:val="22"/>
        </w:rPr>
      </w:pPr>
      <w:r w:rsidRPr="00793575">
        <w:rPr>
          <w:szCs w:val="22"/>
        </w:rPr>
        <w:t>Examine substrates and conditions where materials will be applied. Apply product to geotechnically stable slopes that have been designed and constructed to divert runoff away from the face of the slope. Do not proceed with installation until satisfactory conditions are established.</w:t>
      </w:r>
    </w:p>
    <w:p w14:paraId="63BFC713" w14:textId="77777777" w:rsidR="00793575" w:rsidRPr="00793575" w:rsidRDefault="00793575" w:rsidP="00793575">
      <w:pPr>
        <w:pStyle w:val="ART"/>
        <w:numPr>
          <w:ilvl w:val="3"/>
          <w:numId w:val="11"/>
        </w:numPr>
        <w:rPr>
          <w:szCs w:val="22"/>
        </w:rPr>
      </w:pPr>
      <w:r w:rsidRPr="00793575">
        <w:rPr>
          <w:szCs w:val="22"/>
        </w:rPr>
        <w:t>INSTALLATION</w:t>
      </w:r>
    </w:p>
    <w:p w14:paraId="4F451B43" w14:textId="77777777" w:rsidR="00793575" w:rsidRPr="00793575" w:rsidRDefault="00793575" w:rsidP="00793575">
      <w:pPr>
        <w:pStyle w:val="PR1"/>
        <w:numPr>
          <w:ilvl w:val="4"/>
          <w:numId w:val="11"/>
        </w:numPr>
        <w:rPr>
          <w:szCs w:val="22"/>
        </w:rPr>
      </w:pPr>
      <w:r w:rsidRPr="00793575">
        <w:rPr>
          <w:szCs w:val="22"/>
        </w:rPr>
        <w:t>Assume all risks when seed is sowed before approval of seed analysis.</w:t>
      </w:r>
    </w:p>
    <w:p w14:paraId="2933C0BE" w14:textId="77777777" w:rsidR="00793575" w:rsidRPr="00793575" w:rsidRDefault="00793575" w:rsidP="00793575">
      <w:pPr>
        <w:pStyle w:val="PR1"/>
        <w:numPr>
          <w:ilvl w:val="4"/>
          <w:numId w:val="11"/>
        </w:numPr>
        <w:rPr>
          <w:szCs w:val="22"/>
        </w:rPr>
      </w:pPr>
      <w:r w:rsidRPr="00793575">
        <w:rPr>
          <w:szCs w:val="22"/>
        </w:rPr>
        <w:t>Do not seed when the wind velocity exceeds 5 miles per hour.</w:t>
      </w:r>
    </w:p>
    <w:p w14:paraId="417605FA" w14:textId="77777777" w:rsidR="00793575" w:rsidRPr="00793575" w:rsidRDefault="00793575" w:rsidP="00793575">
      <w:pPr>
        <w:pStyle w:val="PR1"/>
        <w:numPr>
          <w:ilvl w:val="4"/>
          <w:numId w:val="11"/>
        </w:numPr>
        <w:rPr>
          <w:szCs w:val="22"/>
        </w:rPr>
      </w:pPr>
      <w:r w:rsidRPr="00793575">
        <w:rPr>
          <w:szCs w:val="22"/>
        </w:rPr>
        <w:t>Strictly comply with FGM manufacturer's installation instructions and recommendations. Use approved hydroseeding machines with fan-type nozzle (50-degree tip). To achieve optimum soil surface coverage, apply FGM from opposing directions to soil surface. Rough surfaces (rocky terrain, cat tracked and ripped soils) may require higher application rates to achieve 100% cover. Slope interruption devices or water diversion techniques are recommended when slope lengths (on a 3H:1V slope gradient) exceed 100 ft. Slope interruption intervals may need to be decreased based on steeper slopes or other site conditions. FGM is not recommended for channels or areas with concentrated water flow unless used in conjunction with a rolled erosion control product designed to accommodate the anticipated hydraulic conditions. Unless approved by the Manufacturer, no chemical additives with the exception of fertilizer, soil neutralizers and biostimulant materials should be added to this product.</w:t>
      </w:r>
    </w:p>
    <w:p w14:paraId="67D01033" w14:textId="77777777" w:rsidR="00793575" w:rsidRPr="00793575" w:rsidRDefault="00793575" w:rsidP="00793575">
      <w:pPr>
        <w:pStyle w:val="PR1"/>
        <w:numPr>
          <w:ilvl w:val="4"/>
          <w:numId w:val="11"/>
        </w:numPr>
        <w:rPr>
          <w:szCs w:val="22"/>
        </w:rPr>
      </w:pPr>
      <w:r w:rsidRPr="00793575">
        <w:rPr>
          <w:szCs w:val="22"/>
        </w:rPr>
        <w:t>Erosion Control and Revegetation: To ensure proper application rates, measure and stake area. Apply FGM in a two-step process:</w:t>
      </w:r>
    </w:p>
    <w:p w14:paraId="340A6033" w14:textId="77777777" w:rsidR="00793575" w:rsidRPr="00793575" w:rsidRDefault="00793575" w:rsidP="00992755">
      <w:pPr>
        <w:pStyle w:val="PR2"/>
        <w:numPr>
          <w:ilvl w:val="5"/>
          <w:numId w:val="11"/>
        </w:numPr>
        <w:contextualSpacing w:val="0"/>
        <w:rPr>
          <w:szCs w:val="22"/>
        </w:rPr>
      </w:pPr>
      <w:r w:rsidRPr="00793575">
        <w:rPr>
          <w:szCs w:val="22"/>
        </w:rPr>
        <w:t>Step One:  Mix and apply 50% of seed mix with all fertilizer and soil amendments with small amount of FGM for visual metering. Do not leave seeded surfaces unprotected.</w:t>
      </w:r>
    </w:p>
    <w:p w14:paraId="0D195F0B" w14:textId="77777777" w:rsidR="00793575" w:rsidRPr="00793575" w:rsidRDefault="00793575" w:rsidP="00793575">
      <w:pPr>
        <w:pStyle w:val="PR2"/>
        <w:numPr>
          <w:ilvl w:val="5"/>
          <w:numId w:val="11"/>
        </w:numPr>
        <w:spacing w:before="0"/>
        <w:contextualSpacing w:val="0"/>
        <w:rPr>
          <w:szCs w:val="22"/>
        </w:rPr>
      </w:pPr>
      <w:r w:rsidRPr="00793575">
        <w:rPr>
          <w:szCs w:val="22"/>
        </w:rPr>
        <w:t xml:space="preserve">Step Two:  Mix balance of seed and apply FGM at a rate of 50 lb per 125 gallons (23 kg/475 liters) of water over freshly seeded surfaces. Confirm loading rates with equipment manufacturer. </w:t>
      </w:r>
    </w:p>
    <w:p w14:paraId="215FECA9" w14:textId="77777777" w:rsidR="00793575" w:rsidRPr="00793575" w:rsidRDefault="00793575" w:rsidP="00793575">
      <w:pPr>
        <w:pStyle w:val="PR1"/>
        <w:numPr>
          <w:ilvl w:val="4"/>
          <w:numId w:val="11"/>
        </w:numPr>
        <w:rPr>
          <w:szCs w:val="22"/>
        </w:rPr>
      </w:pPr>
      <w:r w:rsidRPr="00793575">
        <w:rPr>
          <w:szCs w:val="22"/>
        </w:rPr>
        <w:t>Mixing:  A mechanically agitated hydraulic-application machine is recommended.</w:t>
      </w:r>
    </w:p>
    <w:p w14:paraId="7806C3B1" w14:textId="77777777" w:rsidR="00793575" w:rsidRPr="00793575" w:rsidRDefault="00793575" w:rsidP="00992755">
      <w:pPr>
        <w:pStyle w:val="PR2"/>
        <w:numPr>
          <w:ilvl w:val="5"/>
          <w:numId w:val="11"/>
        </w:numPr>
        <w:contextualSpacing w:val="0"/>
        <w:rPr>
          <w:szCs w:val="22"/>
        </w:rPr>
      </w:pPr>
      <w:r w:rsidRPr="00992755">
        <w:rPr>
          <w:rStyle w:val="styleparagraph"/>
          <w:sz w:val="22"/>
          <w:szCs w:val="22"/>
        </w:rPr>
        <w:t>Fill 1/3 of mechanically agitated hydroseeder with water. Turn pump on for 15 seconds and purge and pre-wet lines. Turn pump off.</w:t>
      </w:r>
    </w:p>
    <w:p w14:paraId="368E5543" w14:textId="01CC81E1"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Turn agitator on and load low density materials first (</w:t>
      </w:r>
      <w:r w:rsidRPr="00793575">
        <w:rPr>
          <w:rStyle w:val="styleparagraph"/>
          <w:sz w:val="22"/>
          <w:szCs w:val="22"/>
        </w:rPr>
        <w:t>i.e.,</w:t>
      </w:r>
      <w:r w:rsidRPr="00992755">
        <w:rPr>
          <w:rStyle w:val="styleparagraph"/>
          <w:sz w:val="22"/>
          <w:szCs w:val="22"/>
        </w:rPr>
        <w:t xml:space="preserve"> seed).</w:t>
      </w:r>
    </w:p>
    <w:p w14:paraId="0D69BDD7"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Continue slowly filling tank with water while loading fiber matrix into tank.</w:t>
      </w:r>
    </w:p>
    <w:p w14:paraId="2CA4940F"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Consult application and loading charts to determine number of bags to be added for desired area and application rate. Mix at a rate of 50 lb of FGM per 125 gallons.</w:t>
      </w:r>
    </w:p>
    <w:p w14:paraId="40D0CAB5"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All FGM should be completely loaded before water level reaches 75% of the top of tank.</w:t>
      </w:r>
    </w:p>
    <w:p w14:paraId="24FD51A1"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Top off with water and mix until all fiber is fully broken apart and hydrated (minimum of 10 minutes — increase mixing time when applying in cold conditions). This is very important to fully activate the bonding additives and to obtain proper viscosity.</w:t>
      </w:r>
    </w:p>
    <w:p w14:paraId="25315918"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Add fertilizer and any other remaining amendments.</w:t>
      </w:r>
    </w:p>
    <w:p w14:paraId="7133ABC2"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Shut off recirculation valve to minimize potential for air entrainment within the slurry.</w:t>
      </w:r>
    </w:p>
    <w:p w14:paraId="66511A99"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Slow down agitator and start applying with a 50-degree fan tip nozzle.</w:t>
      </w:r>
    </w:p>
    <w:p w14:paraId="507659CA" w14:textId="77777777" w:rsidR="00793575" w:rsidRPr="00793575" w:rsidRDefault="00793575" w:rsidP="00793575">
      <w:pPr>
        <w:pStyle w:val="PR2"/>
        <w:numPr>
          <w:ilvl w:val="5"/>
          <w:numId w:val="11"/>
        </w:numPr>
        <w:spacing w:before="0"/>
        <w:contextualSpacing w:val="0"/>
        <w:rPr>
          <w:szCs w:val="22"/>
        </w:rPr>
      </w:pPr>
      <w:r w:rsidRPr="00992755">
        <w:rPr>
          <w:rStyle w:val="styleparagraph"/>
          <w:sz w:val="22"/>
          <w:szCs w:val="22"/>
        </w:rPr>
        <w:t>Spray in opposing directions for maximum soil coverage.</w:t>
      </w:r>
    </w:p>
    <w:p w14:paraId="675F7E09" w14:textId="77777777" w:rsidR="00793575" w:rsidRPr="00793575" w:rsidRDefault="00793575" w:rsidP="00992755">
      <w:pPr>
        <w:pStyle w:val="SpecifierNote"/>
      </w:pPr>
      <w:r w:rsidRPr="00793575">
        <w:t xml:space="preserve">The application rates below are for standard conditions. Application rates may need to be increased to accommodate very rough surfaces. Contact manufacturer for more information. </w:t>
      </w:r>
    </w:p>
    <w:p w14:paraId="55730F70" w14:textId="77777777" w:rsidR="00793575" w:rsidRPr="00793575" w:rsidRDefault="00793575" w:rsidP="00793575">
      <w:pPr>
        <w:pStyle w:val="PR1"/>
        <w:numPr>
          <w:ilvl w:val="4"/>
          <w:numId w:val="11"/>
        </w:numPr>
        <w:rPr>
          <w:szCs w:val="22"/>
        </w:rPr>
      </w:pPr>
      <w:r w:rsidRPr="00793575">
        <w:rPr>
          <w:szCs w:val="22"/>
        </w:rPr>
        <w:t xml:space="preserve">Application Rates: Apply at the appropriate application rate selected from the table below. </w:t>
      </w:r>
    </w:p>
    <w:p w14:paraId="3A24124E" w14:textId="77777777" w:rsidR="00793575" w:rsidRPr="00793575" w:rsidRDefault="00793575" w:rsidP="00045E59">
      <w:pPr>
        <w:pStyle w:val="PR1"/>
        <w:numPr>
          <w:ilvl w:val="0"/>
          <w:numId w:val="0"/>
        </w:numPr>
        <w:spacing w:before="0"/>
        <w:ind w:left="288"/>
        <w:rPr>
          <w:szCs w:val="22"/>
        </w:rPr>
      </w:pPr>
    </w:p>
    <w:tbl>
      <w:tblPr>
        <w:tblStyle w:val="TableGrid2"/>
        <w:tblW w:w="0" w:type="auto"/>
        <w:jc w:val="center"/>
        <w:tblInd w:w="0" w:type="dxa"/>
        <w:tblLook w:val="01E0" w:firstRow="1" w:lastRow="1" w:firstColumn="1" w:lastColumn="1" w:noHBand="0" w:noVBand="0"/>
      </w:tblPr>
      <w:tblGrid>
        <w:gridCol w:w="2952"/>
        <w:gridCol w:w="2952"/>
      </w:tblGrid>
      <w:tr w:rsidR="00793575" w:rsidRPr="00793575" w14:paraId="2E26A685" w14:textId="77777777" w:rsidTr="00992755">
        <w:trPr>
          <w:jc w:val="center"/>
        </w:trPr>
        <w:tc>
          <w:tcPr>
            <w:tcW w:w="2952" w:type="dxa"/>
            <w:shd w:val="clear" w:color="auto" w:fill="auto"/>
            <w:hideMark/>
          </w:tcPr>
          <w:p w14:paraId="14DF1347" w14:textId="77777777" w:rsidR="00793575" w:rsidRPr="00793575" w:rsidRDefault="00793575" w:rsidP="00B1016F">
            <w:pPr>
              <w:tabs>
                <w:tab w:val="left" w:pos="720"/>
                <w:tab w:val="left" w:pos="1440"/>
                <w:tab w:val="left" w:pos="2160"/>
              </w:tabs>
              <w:jc w:val="center"/>
              <w:rPr>
                <w:b/>
                <w:szCs w:val="22"/>
              </w:rPr>
            </w:pPr>
            <w:r w:rsidRPr="00793575">
              <w:rPr>
                <w:b/>
                <w:szCs w:val="22"/>
              </w:rPr>
              <w:t>CONDITION</w:t>
            </w:r>
          </w:p>
        </w:tc>
        <w:tc>
          <w:tcPr>
            <w:tcW w:w="2952" w:type="dxa"/>
            <w:shd w:val="clear" w:color="auto" w:fill="auto"/>
            <w:hideMark/>
          </w:tcPr>
          <w:p w14:paraId="4CF35592" w14:textId="1D9F3F13" w:rsidR="00793575" w:rsidRPr="00793575" w:rsidRDefault="00793575" w:rsidP="00B1016F">
            <w:pPr>
              <w:tabs>
                <w:tab w:val="left" w:pos="720"/>
                <w:tab w:val="left" w:pos="1440"/>
                <w:tab w:val="left" w:pos="2160"/>
              </w:tabs>
              <w:jc w:val="center"/>
              <w:rPr>
                <w:b/>
                <w:szCs w:val="22"/>
              </w:rPr>
            </w:pPr>
            <w:r w:rsidRPr="00793575">
              <w:rPr>
                <w:b/>
                <w:szCs w:val="22"/>
              </w:rPr>
              <w:t>APPLICATION RATE</w:t>
            </w:r>
          </w:p>
        </w:tc>
      </w:tr>
      <w:tr w:rsidR="00793575" w:rsidRPr="00793575" w14:paraId="417D8BCA" w14:textId="77777777" w:rsidTr="00992755">
        <w:trPr>
          <w:jc w:val="center"/>
        </w:trPr>
        <w:tc>
          <w:tcPr>
            <w:tcW w:w="2952" w:type="dxa"/>
            <w:hideMark/>
          </w:tcPr>
          <w:p w14:paraId="1BCF060C" w14:textId="77777777" w:rsidR="00793575" w:rsidRPr="00793575" w:rsidRDefault="00793575" w:rsidP="00B1016F">
            <w:pPr>
              <w:tabs>
                <w:tab w:val="left" w:pos="720"/>
                <w:tab w:val="left" w:pos="1440"/>
                <w:tab w:val="left" w:pos="2160"/>
              </w:tabs>
              <w:rPr>
                <w:szCs w:val="22"/>
              </w:rPr>
            </w:pPr>
            <w:r w:rsidRPr="00793575">
              <w:rPr>
                <w:szCs w:val="22"/>
                <w:u w:val="single"/>
              </w:rPr>
              <w:t>&lt;</w:t>
            </w:r>
            <w:r w:rsidRPr="00793575">
              <w:rPr>
                <w:szCs w:val="22"/>
              </w:rPr>
              <w:t xml:space="preserve"> 3H to 1V</w:t>
            </w:r>
          </w:p>
        </w:tc>
        <w:tc>
          <w:tcPr>
            <w:tcW w:w="2952" w:type="dxa"/>
            <w:hideMark/>
          </w:tcPr>
          <w:p w14:paraId="7027CA01" w14:textId="77777777" w:rsidR="00793575" w:rsidRPr="00793575" w:rsidRDefault="00793575" w:rsidP="00B1016F">
            <w:pPr>
              <w:tabs>
                <w:tab w:val="left" w:pos="720"/>
                <w:tab w:val="left" w:pos="1440"/>
                <w:tab w:val="left" w:pos="2160"/>
              </w:tabs>
              <w:jc w:val="center"/>
              <w:rPr>
                <w:szCs w:val="22"/>
              </w:rPr>
            </w:pPr>
            <w:r w:rsidRPr="00793575">
              <w:rPr>
                <w:szCs w:val="22"/>
              </w:rPr>
              <w:t>3000 lb/ac</w:t>
            </w:r>
          </w:p>
        </w:tc>
      </w:tr>
      <w:tr w:rsidR="00793575" w:rsidRPr="00793575" w14:paraId="76337AEE" w14:textId="77777777" w:rsidTr="00992755">
        <w:trPr>
          <w:jc w:val="center"/>
        </w:trPr>
        <w:tc>
          <w:tcPr>
            <w:tcW w:w="2952" w:type="dxa"/>
            <w:hideMark/>
          </w:tcPr>
          <w:p w14:paraId="08688EF1" w14:textId="77777777" w:rsidR="00793575" w:rsidRPr="00793575" w:rsidRDefault="00793575" w:rsidP="00B1016F">
            <w:pPr>
              <w:tabs>
                <w:tab w:val="left" w:pos="720"/>
                <w:tab w:val="left" w:pos="1440"/>
                <w:tab w:val="left" w:pos="2160"/>
              </w:tabs>
              <w:rPr>
                <w:szCs w:val="22"/>
              </w:rPr>
            </w:pPr>
            <w:r w:rsidRPr="00793575">
              <w:rPr>
                <w:szCs w:val="22"/>
              </w:rPr>
              <w:t xml:space="preserve">&gt;3H to 1V and </w:t>
            </w:r>
            <w:r w:rsidRPr="00793575">
              <w:rPr>
                <w:szCs w:val="22"/>
                <w:u w:val="single"/>
              </w:rPr>
              <w:t>&lt;</w:t>
            </w:r>
            <w:r w:rsidRPr="00793575">
              <w:rPr>
                <w:szCs w:val="22"/>
              </w:rPr>
              <w:t xml:space="preserve"> 2H to 1V</w:t>
            </w:r>
          </w:p>
        </w:tc>
        <w:tc>
          <w:tcPr>
            <w:tcW w:w="2952" w:type="dxa"/>
            <w:hideMark/>
          </w:tcPr>
          <w:p w14:paraId="2E405CC3" w14:textId="77777777" w:rsidR="00793575" w:rsidRPr="00793575" w:rsidRDefault="00793575" w:rsidP="00B1016F">
            <w:pPr>
              <w:tabs>
                <w:tab w:val="left" w:pos="720"/>
                <w:tab w:val="left" w:pos="1440"/>
                <w:tab w:val="left" w:pos="2160"/>
              </w:tabs>
              <w:jc w:val="center"/>
              <w:rPr>
                <w:szCs w:val="22"/>
              </w:rPr>
            </w:pPr>
            <w:r w:rsidRPr="00793575">
              <w:rPr>
                <w:szCs w:val="22"/>
              </w:rPr>
              <w:t>3500 lb/ac</w:t>
            </w:r>
          </w:p>
        </w:tc>
      </w:tr>
      <w:tr w:rsidR="00793575" w:rsidRPr="00793575" w14:paraId="4CA8FADC" w14:textId="77777777" w:rsidTr="00992755">
        <w:trPr>
          <w:jc w:val="center"/>
        </w:trPr>
        <w:tc>
          <w:tcPr>
            <w:tcW w:w="2952" w:type="dxa"/>
            <w:hideMark/>
          </w:tcPr>
          <w:p w14:paraId="2FFFF15A" w14:textId="77777777" w:rsidR="00793575" w:rsidRPr="00793575" w:rsidRDefault="00793575" w:rsidP="00B1016F">
            <w:pPr>
              <w:tabs>
                <w:tab w:val="left" w:pos="720"/>
                <w:tab w:val="left" w:pos="1440"/>
                <w:tab w:val="left" w:pos="2160"/>
              </w:tabs>
              <w:rPr>
                <w:szCs w:val="22"/>
              </w:rPr>
            </w:pPr>
            <w:r w:rsidRPr="00793575">
              <w:rPr>
                <w:szCs w:val="22"/>
              </w:rPr>
              <w:t xml:space="preserve">&gt;2H to 1V and </w:t>
            </w:r>
            <w:r w:rsidRPr="00793575">
              <w:rPr>
                <w:szCs w:val="22"/>
                <w:u w:val="single"/>
              </w:rPr>
              <w:t>&lt;</w:t>
            </w:r>
            <w:r w:rsidRPr="00793575">
              <w:rPr>
                <w:szCs w:val="22"/>
              </w:rPr>
              <w:t xml:space="preserve"> 1H to 1V</w:t>
            </w:r>
          </w:p>
        </w:tc>
        <w:tc>
          <w:tcPr>
            <w:tcW w:w="2952" w:type="dxa"/>
            <w:hideMark/>
          </w:tcPr>
          <w:p w14:paraId="08DACAF6" w14:textId="77777777" w:rsidR="00793575" w:rsidRPr="00793575" w:rsidRDefault="00793575" w:rsidP="00B1016F">
            <w:pPr>
              <w:tabs>
                <w:tab w:val="left" w:pos="720"/>
                <w:tab w:val="left" w:pos="1440"/>
                <w:tab w:val="left" w:pos="2160"/>
              </w:tabs>
              <w:jc w:val="center"/>
              <w:rPr>
                <w:szCs w:val="22"/>
              </w:rPr>
            </w:pPr>
            <w:r w:rsidRPr="00793575">
              <w:rPr>
                <w:szCs w:val="22"/>
              </w:rPr>
              <w:t>4000 lb/ac</w:t>
            </w:r>
          </w:p>
        </w:tc>
      </w:tr>
      <w:tr w:rsidR="00793575" w:rsidRPr="00793575" w14:paraId="7C203F83" w14:textId="77777777" w:rsidTr="00992755">
        <w:trPr>
          <w:jc w:val="center"/>
        </w:trPr>
        <w:tc>
          <w:tcPr>
            <w:tcW w:w="2952" w:type="dxa"/>
            <w:hideMark/>
          </w:tcPr>
          <w:p w14:paraId="09ACAC4E" w14:textId="77777777" w:rsidR="00793575" w:rsidRPr="00793575" w:rsidRDefault="00793575" w:rsidP="00B1016F">
            <w:pPr>
              <w:tabs>
                <w:tab w:val="left" w:pos="720"/>
                <w:tab w:val="left" w:pos="1440"/>
                <w:tab w:val="left" w:pos="2160"/>
              </w:tabs>
              <w:rPr>
                <w:szCs w:val="22"/>
              </w:rPr>
            </w:pPr>
            <w:r w:rsidRPr="00793575">
              <w:rPr>
                <w:szCs w:val="22"/>
              </w:rPr>
              <w:t>&gt;1H to 1V</w:t>
            </w:r>
          </w:p>
        </w:tc>
        <w:tc>
          <w:tcPr>
            <w:tcW w:w="2952" w:type="dxa"/>
            <w:hideMark/>
          </w:tcPr>
          <w:p w14:paraId="405AF2C5" w14:textId="77777777" w:rsidR="00793575" w:rsidRPr="00793575" w:rsidRDefault="00793575" w:rsidP="00B1016F">
            <w:pPr>
              <w:tabs>
                <w:tab w:val="left" w:pos="720"/>
                <w:tab w:val="left" w:pos="1440"/>
                <w:tab w:val="left" w:pos="2160"/>
              </w:tabs>
              <w:jc w:val="center"/>
              <w:rPr>
                <w:szCs w:val="22"/>
              </w:rPr>
            </w:pPr>
            <w:r w:rsidRPr="00793575">
              <w:rPr>
                <w:szCs w:val="22"/>
              </w:rPr>
              <w:t>4500 lb/ac</w:t>
            </w:r>
          </w:p>
        </w:tc>
      </w:tr>
      <w:tr w:rsidR="00793575" w:rsidRPr="00793575" w14:paraId="298C4FAF" w14:textId="77777777" w:rsidTr="00992755">
        <w:trPr>
          <w:jc w:val="center"/>
        </w:trPr>
        <w:tc>
          <w:tcPr>
            <w:tcW w:w="2952" w:type="dxa"/>
            <w:hideMark/>
          </w:tcPr>
          <w:p w14:paraId="7C317D85" w14:textId="77777777" w:rsidR="00793575" w:rsidRPr="00793575" w:rsidRDefault="00793575" w:rsidP="00B1016F">
            <w:pPr>
              <w:tabs>
                <w:tab w:val="left" w:pos="720"/>
                <w:tab w:val="left" w:pos="1440"/>
                <w:tab w:val="left" w:pos="2160"/>
              </w:tabs>
              <w:rPr>
                <w:szCs w:val="22"/>
              </w:rPr>
            </w:pPr>
            <w:r w:rsidRPr="00793575">
              <w:rPr>
                <w:szCs w:val="22"/>
              </w:rPr>
              <w:t>Below ECB or TRM</w:t>
            </w:r>
          </w:p>
        </w:tc>
        <w:tc>
          <w:tcPr>
            <w:tcW w:w="2952" w:type="dxa"/>
            <w:hideMark/>
          </w:tcPr>
          <w:p w14:paraId="11A95E1E" w14:textId="77777777" w:rsidR="00793575" w:rsidRPr="00793575" w:rsidRDefault="00793575" w:rsidP="00B1016F">
            <w:pPr>
              <w:tabs>
                <w:tab w:val="left" w:pos="720"/>
                <w:tab w:val="left" w:pos="1440"/>
                <w:tab w:val="left" w:pos="2160"/>
              </w:tabs>
              <w:jc w:val="center"/>
              <w:rPr>
                <w:szCs w:val="22"/>
              </w:rPr>
            </w:pPr>
            <w:r w:rsidRPr="00793575">
              <w:rPr>
                <w:szCs w:val="22"/>
              </w:rPr>
              <w:t>1500 lb/ac</w:t>
            </w:r>
          </w:p>
        </w:tc>
      </w:tr>
      <w:tr w:rsidR="00793575" w:rsidRPr="00793575" w14:paraId="23819DF5" w14:textId="77777777" w:rsidTr="00992755">
        <w:trPr>
          <w:jc w:val="center"/>
        </w:trPr>
        <w:tc>
          <w:tcPr>
            <w:tcW w:w="2952" w:type="dxa"/>
            <w:hideMark/>
          </w:tcPr>
          <w:p w14:paraId="06D9BB8D" w14:textId="77777777" w:rsidR="00793575" w:rsidRPr="00793575" w:rsidRDefault="00793575" w:rsidP="00B1016F">
            <w:pPr>
              <w:tabs>
                <w:tab w:val="left" w:pos="720"/>
                <w:tab w:val="left" w:pos="1440"/>
                <w:tab w:val="left" w:pos="2160"/>
              </w:tabs>
              <w:rPr>
                <w:szCs w:val="22"/>
              </w:rPr>
            </w:pPr>
            <w:r w:rsidRPr="00793575">
              <w:rPr>
                <w:szCs w:val="22"/>
              </w:rPr>
              <w:t>As infill to TRM</w:t>
            </w:r>
          </w:p>
        </w:tc>
        <w:tc>
          <w:tcPr>
            <w:tcW w:w="2952" w:type="dxa"/>
            <w:hideMark/>
          </w:tcPr>
          <w:p w14:paraId="69FCD4EE" w14:textId="77777777" w:rsidR="00793575" w:rsidRPr="00793575" w:rsidRDefault="00793575" w:rsidP="00B1016F">
            <w:pPr>
              <w:tabs>
                <w:tab w:val="left" w:pos="720"/>
                <w:tab w:val="left" w:pos="1440"/>
                <w:tab w:val="left" w:pos="2160"/>
              </w:tabs>
              <w:jc w:val="center"/>
              <w:rPr>
                <w:szCs w:val="22"/>
              </w:rPr>
            </w:pPr>
            <w:r w:rsidRPr="00793575">
              <w:rPr>
                <w:szCs w:val="22"/>
              </w:rPr>
              <w:t>3500 lb/ac</w:t>
            </w:r>
          </w:p>
        </w:tc>
      </w:tr>
    </w:tbl>
    <w:p w14:paraId="3E957E45" w14:textId="77777777" w:rsidR="00793575" w:rsidRPr="00793575" w:rsidRDefault="00793575" w:rsidP="00793575">
      <w:pPr>
        <w:pStyle w:val="ART"/>
        <w:numPr>
          <w:ilvl w:val="3"/>
          <w:numId w:val="11"/>
        </w:numPr>
        <w:rPr>
          <w:szCs w:val="22"/>
        </w:rPr>
      </w:pPr>
      <w:r w:rsidRPr="00793575">
        <w:rPr>
          <w:szCs w:val="22"/>
        </w:rPr>
        <w:t>CLEANING AND PROTECTION</w:t>
      </w:r>
    </w:p>
    <w:p w14:paraId="0819F4BC" w14:textId="77777777" w:rsidR="00793575" w:rsidRPr="00793575" w:rsidRDefault="00793575" w:rsidP="00793575">
      <w:pPr>
        <w:pStyle w:val="PR1"/>
        <w:numPr>
          <w:ilvl w:val="4"/>
          <w:numId w:val="11"/>
        </w:numPr>
        <w:rPr>
          <w:szCs w:val="22"/>
        </w:rPr>
      </w:pPr>
      <w:r w:rsidRPr="00992755">
        <w:rPr>
          <w:rStyle w:val="styleparagraph"/>
          <w:sz w:val="22"/>
          <w:szCs w:val="22"/>
        </w:rPr>
        <w:t>After application, thoroughly flush the tank, pumps and hoses to remove all material. Wash all material from the exterior of the machine and remove any slurry spills. Once dry, material will be more difficult to remove.</w:t>
      </w:r>
    </w:p>
    <w:p w14:paraId="66CE97B4" w14:textId="77777777" w:rsidR="00793575" w:rsidRPr="00793575" w:rsidRDefault="00793575" w:rsidP="00793575">
      <w:pPr>
        <w:pStyle w:val="PR1"/>
        <w:numPr>
          <w:ilvl w:val="4"/>
          <w:numId w:val="11"/>
        </w:numPr>
        <w:rPr>
          <w:szCs w:val="22"/>
        </w:rPr>
      </w:pPr>
      <w:r w:rsidRPr="00793575">
        <w:rPr>
          <w:szCs w:val="22"/>
        </w:rPr>
        <w:t>Clean spills promptly.  Advise Owner of methods for protection of treated areas. Do not allow treated areas to be trafficked or subjected to grazing.</w:t>
      </w:r>
    </w:p>
    <w:p w14:paraId="1E9EB234" w14:textId="77777777" w:rsidR="00793575" w:rsidRPr="00793575" w:rsidRDefault="00793575" w:rsidP="00793575">
      <w:pPr>
        <w:pStyle w:val="ART"/>
        <w:numPr>
          <w:ilvl w:val="3"/>
          <w:numId w:val="11"/>
        </w:numPr>
        <w:rPr>
          <w:szCs w:val="22"/>
        </w:rPr>
      </w:pPr>
      <w:r w:rsidRPr="00793575">
        <w:rPr>
          <w:szCs w:val="22"/>
        </w:rPr>
        <w:t>FINAL ACCEPTANCE</w:t>
      </w:r>
    </w:p>
    <w:p w14:paraId="49273840" w14:textId="77777777" w:rsidR="00793575" w:rsidRPr="00793575" w:rsidRDefault="00793575" w:rsidP="00793575">
      <w:pPr>
        <w:pStyle w:val="PR1"/>
        <w:numPr>
          <w:ilvl w:val="4"/>
          <w:numId w:val="11"/>
        </w:numPr>
        <w:rPr>
          <w:szCs w:val="22"/>
        </w:rPr>
      </w:pPr>
      <w:r w:rsidRPr="00793575">
        <w:rPr>
          <w:szCs w:val="22"/>
        </w:rPr>
        <w:t>Final acceptance of lawn areas will be granted when a uniform stand of acceptable grass is obtained, with a minimum of 95 percent coverage.  Portions of the lawn areas may be accepted at various times at the discretion of the Director’s Representative.</w:t>
      </w:r>
    </w:p>
    <w:p w14:paraId="00A5D468" w14:textId="77777777" w:rsidR="00793575" w:rsidRPr="00793575" w:rsidRDefault="00793575" w:rsidP="00793575">
      <w:pPr>
        <w:pStyle w:val="PR1"/>
        <w:numPr>
          <w:ilvl w:val="4"/>
          <w:numId w:val="11"/>
        </w:numPr>
        <w:rPr>
          <w:szCs w:val="22"/>
        </w:rPr>
      </w:pPr>
      <w:r w:rsidRPr="00793575">
        <w:rPr>
          <w:szCs w:val="22"/>
        </w:rPr>
        <w:t>Unacceptable lawn areas, hydro application:  Reseed, fertilize, and mulch at one-half the specified rate, use full water rate.</w:t>
      </w:r>
    </w:p>
    <w:p w14:paraId="74D2557F" w14:textId="77777777" w:rsidR="00793575" w:rsidRPr="00793575" w:rsidRDefault="00793575" w:rsidP="00793575">
      <w:pPr>
        <w:pStyle w:val="PR1"/>
        <w:numPr>
          <w:ilvl w:val="4"/>
          <w:numId w:val="11"/>
        </w:numPr>
        <w:rPr>
          <w:szCs w:val="22"/>
        </w:rPr>
      </w:pPr>
      <w:r w:rsidRPr="00793575">
        <w:rPr>
          <w:szCs w:val="22"/>
        </w:rPr>
        <w:t>Once accepted, the State will assume all maintenance responsibilities.</w:t>
      </w:r>
    </w:p>
    <w:p w14:paraId="4F7FAF0F" w14:textId="651DDC3C" w:rsidR="00793575" w:rsidRPr="00793575" w:rsidRDefault="00793575">
      <w:pPr>
        <w:pStyle w:val="EOS"/>
        <w:rPr>
          <w:szCs w:val="22"/>
        </w:rPr>
      </w:pPr>
      <w:r w:rsidRPr="00793575">
        <w:rPr>
          <w:szCs w:val="22"/>
        </w:rPr>
        <w:t>END OF SECTION 312514.13</w:t>
      </w:r>
    </w:p>
    <w:sectPr w:rsidR="00793575" w:rsidRPr="0079357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45E1A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678C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93575">
      <w:rPr>
        <w:rStyle w:val="NAM"/>
        <w:rFonts w:eastAsia="Calibri"/>
        <w:szCs w:val="22"/>
      </w:rPr>
      <w:t>312514.13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772D27D"/>
    <w:multiLevelType w:val="multilevel"/>
    <w:tmpl w:val="B10E1928"/>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F2B49DC"/>
    <w:multiLevelType w:val="multilevel"/>
    <w:tmpl w:val="F78C57B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7"/>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5959007">
    <w:abstractNumId w:val="5"/>
  </w:num>
  <w:num w:numId="12" w16cid:durableId="148840306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357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2755"/>
    <w:rsid w:val="009C59C7"/>
    <w:rsid w:val="00A137BA"/>
    <w:rsid w:val="00A413CB"/>
    <w:rsid w:val="00A67950"/>
    <w:rsid w:val="00A825F6"/>
    <w:rsid w:val="00AB58B3"/>
    <w:rsid w:val="00AF5EB0"/>
    <w:rsid w:val="00B06DD9"/>
    <w:rsid w:val="00B2599C"/>
    <w:rsid w:val="00B33647"/>
    <w:rsid w:val="00B57E84"/>
    <w:rsid w:val="00B673C7"/>
    <w:rsid w:val="00B678C5"/>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793575"/>
    <w:rPr>
      <w:sz w:val="16"/>
      <w:szCs w:val="16"/>
    </w:rPr>
  </w:style>
  <w:style w:type="paragraph" w:styleId="CommentText">
    <w:name w:val="annotation text"/>
    <w:basedOn w:val="Normal"/>
    <w:link w:val="CommentTextChar"/>
    <w:uiPriority w:val="99"/>
    <w:semiHidden/>
    <w:unhideWhenUsed/>
    <w:rsid w:val="00793575"/>
    <w:rPr>
      <w:sz w:val="20"/>
    </w:rPr>
  </w:style>
  <w:style w:type="character" w:customStyle="1" w:styleId="CommentTextChar">
    <w:name w:val="Comment Text Char"/>
    <w:basedOn w:val="DefaultParagraphFont"/>
    <w:link w:val="CommentText"/>
    <w:uiPriority w:val="99"/>
    <w:semiHidden/>
    <w:rsid w:val="00793575"/>
  </w:style>
  <w:style w:type="table" w:customStyle="1" w:styleId="TableGrid1">
    <w:name w:val="Table Grid1"/>
    <w:basedOn w:val="TableNormal"/>
    <w:next w:val="TableGrid"/>
    <w:rsid w:val="0079357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9357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paragraph">
    <w:name w:val="style_paragraph"/>
    <w:rsid w:val="00793575"/>
    <w:rPr>
      <w:sz w:val="24"/>
      <w:szCs w:val="24"/>
    </w:rPr>
  </w:style>
  <w:style w:type="table" w:styleId="TableGrid">
    <w:name w:val="Table Grid"/>
    <w:basedOn w:val="TableNormal"/>
    <w:uiPriority w:val="59"/>
    <w:rsid w:val="0079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ileproduct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10251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