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15DA8" w14:textId="77777777" w:rsidR="00F74350" w:rsidRDefault="00F74350" w:rsidP="00BF2717">
      <w:pPr>
        <w:pStyle w:val="SCT"/>
      </w:pPr>
      <w:r>
        <w:t xml:space="preserve">SECTION </w:t>
      </w:r>
      <w:r>
        <w:rPr>
          <w:rStyle w:val="NUM"/>
        </w:rPr>
        <w:t>310001</w:t>
      </w:r>
      <w:r>
        <w:t xml:space="preserve"> - EARTHWORK MATERIALS</w:t>
      </w:r>
    </w:p>
    <w:p w14:paraId="5FF2DEEE" w14:textId="77777777" w:rsidR="00F74350" w:rsidRDefault="00F74350" w:rsidP="00BF2717">
      <w:pPr>
        <w:pStyle w:val="PRT"/>
      </w:pPr>
      <w:r>
        <w:t>GENERAL</w:t>
      </w:r>
    </w:p>
    <w:p w14:paraId="035F35B1" w14:textId="77777777" w:rsidR="00F74350" w:rsidRDefault="00F74350" w:rsidP="00BF2717">
      <w:pPr>
        <w:pStyle w:val="ART"/>
      </w:pPr>
      <w:r>
        <w:t>RELATED DOCUMENTS</w:t>
      </w:r>
    </w:p>
    <w:p w14:paraId="769B89FC" w14:textId="77777777" w:rsidR="00F74350" w:rsidRDefault="00F74350" w:rsidP="00BF2717">
      <w:pPr>
        <w:pStyle w:val="PR1"/>
      </w:pPr>
      <w:r>
        <w:t>Drawings and general provisions of the Contract, including General and Supplementary Conditions and Division 01 Specification Sections, apply to this Section.</w:t>
      </w:r>
    </w:p>
    <w:p w14:paraId="48097BB6" w14:textId="77777777" w:rsidR="00F74350" w:rsidRDefault="00F74350" w:rsidP="00BF2717">
      <w:pPr>
        <w:pStyle w:val="ART"/>
      </w:pPr>
      <w:r>
        <w:t>SUMMARY</w:t>
      </w:r>
    </w:p>
    <w:p w14:paraId="2EDBD600" w14:textId="77777777" w:rsidR="00F74350" w:rsidRDefault="00F74350" w:rsidP="00BF2717">
      <w:pPr>
        <w:pStyle w:val="PR1"/>
      </w:pPr>
      <w:r>
        <w:t>Section Includes:</w:t>
      </w:r>
    </w:p>
    <w:p w14:paraId="42AD9285" w14:textId="13BD74FC" w:rsidR="00F74350" w:rsidRDefault="00F74350" w:rsidP="00D17E2F">
      <w:pPr>
        <w:pStyle w:val="PR2"/>
        <w:contextualSpacing w:val="0"/>
      </w:pPr>
      <w:r>
        <w:t>Soil/Aggregate Materials.</w:t>
      </w:r>
    </w:p>
    <w:p w14:paraId="17DACDF6" w14:textId="63827195" w:rsidR="00F74350" w:rsidRDefault="00F74350" w:rsidP="00DA4692">
      <w:pPr>
        <w:pStyle w:val="PR2"/>
        <w:spacing w:before="0"/>
        <w:contextualSpacing w:val="0"/>
      </w:pPr>
      <w:r>
        <w:t>Geosynthetics.</w:t>
      </w:r>
    </w:p>
    <w:p w14:paraId="401C2172" w14:textId="77777777" w:rsidR="00F74350" w:rsidRDefault="00F74350" w:rsidP="00DA4692">
      <w:pPr>
        <w:pStyle w:val="PR2"/>
        <w:spacing w:before="0"/>
        <w:contextualSpacing w:val="0"/>
      </w:pPr>
      <w:r>
        <w:t>Wastewater Materials.</w:t>
      </w:r>
    </w:p>
    <w:p w14:paraId="123BEC68" w14:textId="77777777" w:rsidR="00F74350" w:rsidRDefault="00F74350" w:rsidP="00BF2717">
      <w:pPr>
        <w:pStyle w:val="PR1"/>
      </w:pPr>
      <w:r>
        <w:t>Related Requirements:</w:t>
      </w:r>
    </w:p>
    <w:p w14:paraId="1FE90B07" w14:textId="1E4C5DA9" w:rsidR="00F74350" w:rsidRDefault="00F74350" w:rsidP="006163E1">
      <w:pPr>
        <w:pStyle w:val="PR2"/>
        <w:contextualSpacing w:val="0"/>
      </w:pPr>
      <w:r>
        <w:t>Section 310000 - Earthwork.</w:t>
      </w:r>
    </w:p>
    <w:p w14:paraId="4A58DCB1" w14:textId="77777777" w:rsidR="00F74350" w:rsidRDefault="00F74350" w:rsidP="009D2A30">
      <w:pPr>
        <w:pStyle w:val="ART"/>
      </w:pPr>
      <w:r w:rsidRPr="00816364">
        <w:t>REFERENCE STANDARDS</w:t>
      </w:r>
    </w:p>
    <w:p w14:paraId="4E174146" w14:textId="77777777" w:rsidR="00F74350" w:rsidRDefault="00F74350" w:rsidP="00816364">
      <w:pPr>
        <w:pStyle w:val="PR1"/>
      </w:pPr>
      <w:r>
        <w:t>New York State Department of Transportation (NYS DOT)</w:t>
      </w:r>
    </w:p>
    <w:p w14:paraId="6D300580" w14:textId="72B1F1E3" w:rsidR="00F74350" w:rsidRDefault="00F74350" w:rsidP="00DA4692">
      <w:pPr>
        <w:pStyle w:val="PR2"/>
        <w:contextualSpacing w:val="0"/>
      </w:pPr>
      <w:r>
        <w:t>NYSDOT 620 - Bank and Channel Protection</w:t>
      </w:r>
    </w:p>
    <w:p w14:paraId="664FEEFE" w14:textId="77777777" w:rsidR="00F74350" w:rsidRDefault="00F74350" w:rsidP="00F74350">
      <w:pPr>
        <w:pStyle w:val="PR2"/>
        <w:spacing w:before="0"/>
        <w:contextualSpacing w:val="0"/>
      </w:pPr>
      <w:r>
        <w:t>NYSDOT 703 - Aggregates</w:t>
      </w:r>
    </w:p>
    <w:p w14:paraId="23906AE7" w14:textId="77777777" w:rsidR="00F74350" w:rsidRDefault="00F74350" w:rsidP="00F74350">
      <w:pPr>
        <w:pStyle w:val="PR2"/>
        <w:spacing w:before="0"/>
        <w:contextualSpacing w:val="0"/>
      </w:pPr>
      <w:r>
        <w:t>NYSDOT 733 - Earthwork Materials</w:t>
      </w:r>
    </w:p>
    <w:p w14:paraId="7661F795" w14:textId="77777777" w:rsidR="00F74350" w:rsidRDefault="00F74350" w:rsidP="00BF2717">
      <w:pPr>
        <w:pStyle w:val="ART"/>
      </w:pPr>
      <w:r>
        <w:t>SUBMITTALS</w:t>
      </w:r>
    </w:p>
    <w:p w14:paraId="2763FCE7" w14:textId="77777777" w:rsidR="00F74350" w:rsidRDefault="00F74350" w:rsidP="001570C4">
      <w:pPr>
        <w:pStyle w:val="PR1"/>
      </w:pPr>
      <w:r>
        <w:t>Submittals for this Section are subject to the re-evaluation fee identified in Article 4 of the General Conditions.</w:t>
      </w:r>
    </w:p>
    <w:p w14:paraId="41E9E171" w14:textId="77777777" w:rsidR="00F74350" w:rsidRDefault="00F74350" w:rsidP="001570C4">
      <w:pPr>
        <w:pStyle w:val="PR1"/>
      </w:pPr>
      <w:r>
        <w:t>Manufacturer’s installation instructions shall be provided along with product data.</w:t>
      </w:r>
    </w:p>
    <w:p w14:paraId="447A7661" w14:textId="77777777" w:rsidR="00F74350" w:rsidRDefault="00F74350" w:rsidP="001570C4">
      <w:pPr>
        <w:pStyle w:val="PR1"/>
      </w:pPr>
      <w:r>
        <w:t>Submittals shall be provided in the order in which they are specified and tabbed (for combined submittals).</w:t>
      </w:r>
    </w:p>
    <w:p w14:paraId="3D0D6186" w14:textId="77777777" w:rsidR="00F74350" w:rsidRDefault="00F74350" w:rsidP="006163E1">
      <w:pPr>
        <w:pStyle w:val="PR1"/>
      </w:pPr>
      <w:r>
        <w:t>Product Data: Submit name of imported materials source.</w:t>
      </w:r>
    </w:p>
    <w:p w14:paraId="45631F15" w14:textId="77777777" w:rsidR="00F74350" w:rsidRDefault="00F74350" w:rsidP="00EE1CB5">
      <w:pPr>
        <w:pStyle w:val="PR1"/>
      </w:pPr>
      <w:r w:rsidRPr="00EE1CB5">
        <w:t xml:space="preserve">Qualification Data: For </w:t>
      </w:r>
      <w:r>
        <w:t>ASTM certified soils</w:t>
      </w:r>
      <w:r w:rsidRPr="00EE1CB5">
        <w:t xml:space="preserve"> testing agency.</w:t>
      </w:r>
    </w:p>
    <w:p w14:paraId="06AC3476" w14:textId="202FBF04" w:rsidR="00F74350" w:rsidRPr="008E697C" w:rsidRDefault="00F74350" w:rsidP="00DA4692">
      <w:pPr>
        <w:pStyle w:val="SpecifierNote"/>
      </w:pPr>
      <w:r w:rsidRPr="008E697C">
        <w:t xml:space="preserve">Retain "Material Test Reports" </w:t>
      </w:r>
      <w:r>
        <w:t>paragraph</w:t>
      </w:r>
      <w:r w:rsidRPr="008E697C">
        <w:t xml:space="preserve"> below for material test reports that are Contractor's responsibility.</w:t>
      </w:r>
    </w:p>
    <w:p w14:paraId="17653F74" w14:textId="77777777" w:rsidR="00F74350" w:rsidRPr="008E697C" w:rsidRDefault="00F74350" w:rsidP="001C1BD8">
      <w:pPr>
        <w:pStyle w:val="PR1"/>
      </w:pPr>
      <w:r w:rsidRPr="008E697C">
        <w:t>Material Test Reports: For each [</w:t>
      </w:r>
      <w:r w:rsidRPr="008E697C">
        <w:rPr>
          <w:b/>
        </w:rPr>
        <w:t>on-site</w:t>
      </w:r>
      <w:r w:rsidRPr="008E697C">
        <w:t>] [</w:t>
      </w:r>
      <w:r w:rsidRPr="008E697C">
        <w:rPr>
          <w:b/>
        </w:rPr>
        <w:t>and</w:t>
      </w:r>
      <w:r w:rsidRPr="008E697C">
        <w:t>] [</w:t>
      </w:r>
      <w:r w:rsidRPr="008E697C">
        <w:rPr>
          <w:b/>
        </w:rPr>
        <w:t>borrow</w:t>
      </w:r>
      <w:r w:rsidRPr="008E697C">
        <w:t>] soil material proposed for fill and backfill as follows:</w:t>
      </w:r>
    </w:p>
    <w:p w14:paraId="223FFB8A" w14:textId="77777777" w:rsidR="00F74350" w:rsidRPr="008E697C" w:rsidRDefault="00F74350" w:rsidP="00DA4692">
      <w:pPr>
        <w:pStyle w:val="SpecifierNote"/>
      </w:pPr>
      <w:r w:rsidRPr="008E697C">
        <w:lastRenderedPageBreak/>
        <w:t>Retain both subparagraphs below for borrow soil material. Delete if using only on-site soil material and geotechnical report is sufficient.</w:t>
      </w:r>
    </w:p>
    <w:p w14:paraId="0BA1B208" w14:textId="77777777" w:rsidR="00F74350" w:rsidRPr="008E697C" w:rsidRDefault="00F74350" w:rsidP="001C1BD8">
      <w:pPr>
        <w:pStyle w:val="PR2"/>
        <w:numPr>
          <w:ilvl w:val="5"/>
          <w:numId w:val="2"/>
        </w:numPr>
        <w:contextualSpacing w:val="0"/>
      </w:pPr>
      <w:r w:rsidRPr="008E697C">
        <w:t>Classification according to ASTM D2487.</w:t>
      </w:r>
    </w:p>
    <w:p w14:paraId="553788AA" w14:textId="77777777" w:rsidR="00F74350" w:rsidRPr="008E697C" w:rsidRDefault="00F74350" w:rsidP="00F74350">
      <w:pPr>
        <w:pStyle w:val="PR2"/>
        <w:numPr>
          <w:ilvl w:val="5"/>
          <w:numId w:val="2"/>
        </w:numPr>
        <w:spacing w:before="0"/>
        <w:contextualSpacing w:val="0"/>
      </w:pPr>
      <w:r w:rsidRPr="008E697C">
        <w:t>Laboratory compaction curve according to [</w:t>
      </w:r>
      <w:r w:rsidRPr="008E697C">
        <w:rPr>
          <w:b/>
        </w:rPr>
        <w:t>ASTM D698</w:t>
      </w:r>
      <w:r w:rsidRPr="008E697C">
        <w:t>] [</w:t>
      </w:r>
      <w:r w:rsidRPr="008E697C">
        <w:rPr>
          <w:b/>
        </w:rPr>
        <w:t>ASTM D1557</w:t>
      </w:r>
      <w:r w:rsidRPr="008E697C">
        <w:t>].</w:t>
      </w:r>
    </w:p>
    <w:p w14:paraId="08D6A916" w14:textId="77777777" w:rsidR="00F74350" w:rsidRDefault="00F74350" w:rsidP="00DA4692">
      <w:pPr>
        <w:pStyle w:val="SpecifierNote"/>
      </w:pPr>
      <w:r>
        <w:t>Retain one of two paragraphs below. Include the following paragraph ONLY if submission of physical samples is required. Retain the second paragraph if no physical samples are required.</w:t>
      </w:r>
    </w:p>
    <w:p w14:paraId="2E2158A1" w14:textId="62BFAE47" w:rsidR="00F74350" w:rsidRDefault="00F74350" w:rsidP="006163E1">
      <w:pPr>
        <w:pStyle w:val="PR1"/>
      </w:pPr>
      <w:r>
        <w:t>Samples: Submit, in airtight containers, samples of the following types to ASTM certified soil testing laboratory. Provide Director’s Representative with the laboratory test results for gradation, Proctors and soundness tests.</w:t>
      </w:r>
    </w:p>
    <w:p w14:paraId="5051F5B3" w14:textId="77777777" w:rsidR="00F74350" w:rsidRDefault="00F74350" w:rsidP="00DA4692">
      <w:pPr>
        <w:pStyle w:val="SpecifierNote"/>
      </w:pPr>
      <w:r>
        <w:t>Include only materials that are used in the Project.</w:t>
      </w:r>
    </w:p>
    <w:p w14:paraId="734BAC5D" w14:textId="77777777" w:rsidR="00F74350" w:rsidRPr="00EA2625" w:rsidRDefault="00F74350" w:rsidP="00DA4692">
      <w:pPr>
        <w:pStyle w:val="PR2"/>
        <w:contextualSpacing w:val="0"/>
        <w:rPr>
          <w:b/>
        </w:rPr>
      </w:pPr>
      <w:r>
        <w:t>[</w:t>
      </w:r>
      <w:r w:rsidRPr="00EA2625">
        <w:rPr>
          <w:b/>
        </w:rPr>
        <w:t>Select Granular Material:  50 - 60 lb. (Two Samples).</w:t>
      </w:r>
      <w:r>
        <w:t>]</w:t>
      </w:r>
    </w:p>
    <w:p w14:paraId="392071E8" w14:textId="77777777" w:rsidR="00F74350" w:rsidRPr="00EA2625" w:rsidRDefault="00F74350" w:rsidP="00F74350">
      <w:pPr>
        <w:pStyle w:val="PR2"/>
        <w:spacing w:before="0"/>
        <w:contextualSpacing w:val="0"/>
        <w:rPr>
          <w:b/>
        </w:rPr>
      </w:pPr>
      <w:r>
        <w:t>[</w:t>
      </w:r>
      <w:r w:rsidRPr="00EA2625">
        <w:rPr>
          <w:b/>
        </w:rPr>
        <w:t>Subbase Course Type 2:  50 - 60 lb. (Two Samples).</w:t>
      </w:r>
      <w:r>
        <w:t>]</w:t>
      </w:r>
    </w:p>
    <w:p w14:paraId="2CBEB084" w14:textId="77777777" w:rsidR="00F74350" w:rsidRPr="00EA2625" w:rsidRDefault="00F74350" w:rsidP="00F74350">
      <w:pPr>
        <w:pStyle w:val="PR2"/>
        <w:spacing w:before="0"/>
        <w:contextualSpacing w:val="0"/>
        <w:rPr>
          <w:b/>
        </w:rPr>
      </w:pPr>
      <w:r>
        <w:t>[</w:t>
      </w:r>
      <w:r w:rsidRPr="00EA2625">
        <w:rPr>
          <w:b/>
        </w:rPr>
        <w:t>Selected Fill:  40 - 50 lb</w:t>
      </w:r>
      <w:r>
        <w:rPr>
          <w:b/>
        </w:rPr>
        <w:t>.</w:t>
      </w:r>
      <w:r>
        <w:t>]</w:t>
      </w:r>
    </w:p>
    <w:p w14:paraId="2A868CA0" w14:textId="77777777" w:rsidR="00F74350" w:rsidRPr="00EA2625" w:rsidRDefault="00F74350" w:rsidP="00F74350">
      <w:pPr>
        <w:pStyle w:val="PR2"/>
        <w:spacing w:before="0"/>
        <w:contextualSpacing w:val="0"/>
        <w:rPr>
          <w:b/>
        </w:rPr>
      </w:pPr>
      <w:r>
        <w:t>[</w:t>
      </w:r>
      <w:r w:rsidRPr="00EA2625">
        <w:rPr>
          <w:b/>
        </w:rPr>
        <w:t>Cushion Material:  30 lb.</w:t>
      </w:r>
      <w:r>
        <w:t>]</w:t>
      </w:r>
    </w:p>
    <w:p w14:paraId="06CD9358" w14:textId="77777777" w:rsidR="00F74350" w:rsidRPr="00EA2625" w:rsidRDefault="00F74350" w:rsidP="00F74350">
      <w:pPr>
        <w:pStyle w:val="PR2"/>
        <w:spacing w:before="0"/>
        <w:contextualSpacing w:val="0"/>
        <w:rPr>
          <w:b/>
        </w:rPr>
      </w:pPr>
      <w:r>
        <w:t>[</w:t>
      </w:r>
      <w:r w:rsidRPr="00EA2625">
        <w:rPr>
          <w:b/>
        </w:rPr>
        <w:t>Item B-12:  30lb, each gradation</w:t>
      </w:r>
      <w:r>
        <w:rPr>
          <w:b/>
        </w:rPr>
        <w:t>.</w:t>
      </w:r>
      <w:r>
        <w:t>]</w:t>
      </w:r>
    </w:p>
    <w:p w14:paraId="179A59CF" w14:textId="77777777" w:rsidR="00F74350" w:rsidRPr="002138FB" w:rsidRDefault="00F74350" w:rsidP="00F74350">
      <w:pPr>
        <w:pStyle w:val="PR2"/>
        <w:spacing w:before="0"/>
        <w:contextualSpacing w:val="0"/>
        <w:rPr>
          <w:b/>
        </w:rPr>
      </w:pPr>
      <w:r>
        <w:t>[</w:t>
      </w:r>
      <w:r w:rsidRPr="00EA2625">
        <w:rPr>
          <w:b/>
        </w:rPr>
        <w:t>Crushed Stone:  30 lb.</w:t>
      </w:r>
      <w:r>
        <w:t>]</w:t>
      </w:r>
    </w:p>
    <w:p w14:paraId="17740E94" w14:textId="77777777" w:rsidR="00F74350" w:rsidRDefault="00F74350" w:rsidP="00F74350">
      <w:pPr>
        <w:pStyle w:val="PR2"/>
        <w:spacing w:before="0"/>
        <w:contextualSpacing w:val="0"/>
      </w:pPr>
      <w:r>
        <w:t>[</w:t>
      </w:r>
      <w:r w:rsidRPr="002138FB">
        <w:rPr>
          <w:b/>
          <w:bCs/>
        </w:rPr>
        <w:t>Riprap: Submit sufficient sample size to confirm finish, color and texture</w:t>
      </w:r>
      <w:r>
        <w:t>.]</w:t>
      </w:r>
    </w:p>
    <w:p w14:paraId="5A5FF5F7" w14:textId="77777777" w:rsidR="00F74350" w:rsidRDefault="00F74350" w:rsidP="00F74350">
      <w:pPr>
        <w:pStyle w:val="PR2"/>
        <w:spacing w:before="0"/>
        <w:contextualSpacing w:val="0"/>
      </w:pPr>
      <w:r>
        <w:t>[</w:t>
      </w:r>
      <w:r w:rsidRPr="002138FB">
        <w:rPr>
          <w:b/>
          <w:bCs/>
        </w:rPr>
        <w:t>Riprap Bedding Material: 30 lb.</w:t>
      </w:r>
      <w:r w:rsidRPr="00251BD9">
        <w:t>]</w:t>
      </w:r>
    </w:p>
    <w:p w14:paraId="2E6BF965" w14:textId="77777777" w:rsidR="00F74350" w:rsidRDefault="00F74350" w:rsidP="00F74350">
      <w:pPr>
        <w:pStyle w:val="PR2"/>
        <w:spacing w:before="0"/>
        <w:contextualSpacing w:val="0"/>
      </w:pPr>
      <w:r>
        <w:t>[</w:t>
      </w:r>
      <w:r w:rsidRPr="002138FB">
        <w:rPr>
          <w:b/>
          <w:bCs/>
        </w:rPr>
        <w:t>Pea Gravel: 30 lb.</w:t>
      </w:r>
      <w:r>
        <w:t>]</w:t>
      </w:r>
    </w:p>
    <w:p w14:paraId="7F4B6A69" w14:textId="77777777" w:rsidR="00F74350" w:rsidRPr="002138FB" w:rsidRDefault="00F74350" w:rsidP="00F74350">
      <w:pPr>
        <w:pStyle w:val="PR2"/>
        <w:spacing w:before="0"/>
        <w:contextualSpacing w:val="0"/>
      </w:pPr>
      <w:r>
        <w:t>[</w:t>
      </w:r>
      <w:r w:rsidRPr="002138FB">
        <w:rPr>
          <w:b/>
          <w:bCs/>
        </w:rPr>
        <w:t>Topsoil: 30 lb.</w:t>
      </w:r>
      <w:r>
        <w:t>]</w:t>
      </w:r>
    </w:p>
    <w:p w14:paraId="75632BD1" w14:textId="77777777" w:rsidR="00F74350" w:rsidRDefault="00F74350" w:rsidP="00DA4692">
      <w:pPr>
        <w:pStyle w:val="SpecifierNote"/>
      </w:pPr>
      <w:r>
        <w:t>Five subparagraphs below are for unit paving applications; delete if not required.</w:t>
      </w:r>
    </w:p>
    <w:p w14:paraId="019D9739" w14:textId="77777777" w:rsidR="00F74350" w:rsidRDefault="00F74350" w:rsidP="00F74350">
      <w:pPr>
        <w:pStyle w:val="PR2"/>
        <w:spacing w:before="0"/>
        <w:contextualSpacing w:val="0"/>
      </w:pPr>
      <w:r>
        <w:t>[</w:t>
      </w:r>
      <w:r>
        <w:rPr>
          <w:b/>
        </w:rPr>
        <w:t>Sand Leveling Course: 30 lb</w:t>
      </w:r>
      <w:r>
        <w:t>]</w:t>
      </w:r>
    </w:p>
    <w:p w14:paraId="15BF2314" w14:textId="77777777" w:rsidR="00F74350" w:rsidRDefault="00F74350" w:rsidP="00F74350">
      <w:pPr>
        <w:pStyle w:val="PR2"/>
        <w:spacing w:before="0"/>
        <w:contextualSpacing w:val="0"/>
      </w:pPr>
      <w:r>
        <w:t>[</w:t>
      </w:r>
      <w:r>
        <w:rPr>
          <w:b/>
        </w:rPr>
        <w:t>Sand for Joints: 30 lb</w:t>
      </w:r>
      <w:r>
        <w:t>]</w:t>
      </w:r>
    </w:p>
    <w:p w14:paraId="60B160AD" w14:textId="77777777" w:rsidR="00F74350" w:rsidRDefault="00F74350" w:rsidP="00F74350">
      <w:pPr>
        <w:pStyle w:val="PR2"/>
        <w:spacing w:before="0"/>
        <w:contextualSpacing w:val="0"/>
      </w:pPr>
      <w:r>
        <w:t>[</w:t>
      </w:r>
      <w:r>
        <w:rPr>
          <w:b/>
        </w:rPr>
        <w:t>Soil Mix for Leveling Course: 30 lb</w:t>
      </w:r>
      <w:r>
        <w:t>]</w:t>
      </w:r>
    </w:p>
    <w:p w14:paraId="39650878" w14:textId="77777777" w:rsidR="00F74350" w:rsidRDefault="00F74350" w:rsidP="00F74350">
      <w:pPr>
        <w:pStyle w:val="PR2"/>
        <w:spacing w:before="0"/>
        <w:contextualSpacing w:val="0"/>
      </w:pPr>
      <w:r>
        <w:t>[</w:t>
      </w:r>
      <w:r>
        <w:rPr>
          <w:b/>
        </w:rPr>
        <w:t>Graded Aggregate: 30 lb</w:t>
      </w:r>
      <w:r>
        <w:t>]</w:t>
      </w:r>
    </w:p>
    <w:p w14:paraId="7402C1ED" w14:textId="77777777" w:rsidR="00F74350" w:rsidRPr="00F74350" w:rsidRDefault="00F74350" w:rsidP="00DA4692">
      <w:pPr>
        <w:pStyle w:val="SpecifierNote"/>
        <w:rPr>
          <w:color w:val="auto"/>
        </w:rPr>
      </w:pPr>
      <w:r>
        <w:t>Two subparagraphs below are for Environmental Engineering projects, when required. Delete if not required.</w:t>
      </w:r>
    </w:p>
    <w:p w14:paraId="28D6953D" w14:textId="77777777" w:rsidR="00F74350" w:rsidRDefault="00F74350" w:rsidP="00DA4692">
      <w:pPr>
        <w:pStyle w:val="PR2"/>
        <w:spacing w:before="0"/>
        <w:contextualSpacing w:val="0"/>
      </w:pPr>
      <w:r>
        <w:t>[</w:t>
      </w:r>
      <w:r w:rsidRPr="005C5E46">
        <w:rPr>
          <w:b/>
          <w:bCs/>
        </w:rPr>
        <w:t>Crushed Stone, Crushed Gravel, or Screened Gravel (Wastewater):  30 lb., each layer gradation (if more than one).</w:t>
      </w:r>
      <w:r w:rsidRPr="005C5E46">
        <w:t>]</w:t>
      </w:r>
    </w:p>
    <w:p w14:paraId="4B280D9E" w14:textId="77777777" w:rsidR="00F74350" w:rsidRDefault="00F74350" w:rsidP="00F74350">
      <w:pPr>
        <w:pStyle w:val="PR2"/>
        <w:spacing w:before="0"/>
        <w:contextualSpacing w:val="0"/>
      </w:pPr>
      <w:r>
        <w:t>[</w:t>
      </w:r>
      <w:r w:rsidRPr="005C5E46">
        <w:rPr>
          <w:b/>
          <w:bCs/>
        </w:rPr>
        <w:t>Sand Filter Material (Wastewater):  30 lb</w:t>
      </w:r>
      <w:r w:rsidRPr="00DA4692">
        <w:t>.</w:t>
      </w:r>
      <w:r>
        <w:t>]</w:t>
      </w:r>
    </w:p>
    <w:p w14:paraId="2867ED3E" w14:textId="77777777" w:rsidR="00F74350" w:rsidRDefault="00F74350" w:rsidP="00EE1CB5">
      <w:pPr>
        <w:pStyle w:val="PR1"/>
      </w:pPr>
      <w:r>
        <w:t>Source Quality-Control Submittals:</w:t>
      </w:r>
    </w:p>
    <w:p w14:paraId="3605278F" w14:textId="77777777" w:rsidR="00F74350" w:rsidRDefault="00F74350" w:rsidP="00DA4692">
      <w:pPr>
        <w:pStyle w:val="PR2"/>
        <w:contextualSpacing w:val="0"/>
      </w:pPr>
      <w:r>
        <w:t>Subbase Materials: Provide name and location of source and the NYSDOT Source Number. If the material is not being taken from an approved NYSDOT source, the soil laboratory test results for gradation and soundness tests performed by an ASTM certified soils laboratory will be required.</w:t>
      </w:r>
    </w:p>
    <w:p w14:paraId="7ECB7016" w14:textId="77777777" w:rsidR="00F74350" w:rsidRDefault="00F74350" w:rsidP="00F74350">
      <w:pPr>
        <w:pStyle w:val="PR2"/>
        <w:spacing w:before="0"/>
        <w:contextualSpacing w:val="0"/>
      </w:pPr>
      <w:r>
        <w:t>Other Aggregates: Provide name and location of source and soil laboratory test results for gradation and soundness tests performed by an ASTM certified soils laboratory.</w:t>
      </w:r>
    </w:p>
    <w:p w14:paraId="5D9805B5" w14:textId="77777777" w:rsidR="00F74350" w:rsidRDefault="00F74350" w:rsidP="00F74350">
      <w:pPr>
        <w:pStyle w:val="PR2"/>
        <w:spacing w:before="0"/>
        <w:contextualSpacing w:val="0"/>
      </w:pPr>
      <w:r>
        <w:t xml:space="preserve">Topsoil: </w:t>
      </w:r>
      <w:r w:rsidRPr="00075A87">
        <w:t>Topsoil used on this project shall be tested</w:t>
      </w:r>
      <w:r>
        <w:t xml:space="preserve"> </w:t>
      </w:r>
      <w:r w:rsidRPr="00075A87">
        <w:t>by a certified soils laboratory</w:t>
      </w:r>
      <w:r>
        <w:t xml:space="preserve"> for </w:t>
      </w:r>
      <w:r w:rsidRPr="00075A87">
        <w:t>organic matter, Ph value, and gradation, and</w:t>
      </w:r>
      <w:r>
        <w:t xml:space="preserve"> must be</w:t>
      </w:r>
      <w:r w:rsidRPr="00075A87">
        <w:t xml:space="preserve"> approved before placement.</w:t>
      </w:r>
    </w:p>
    <w:p w14:paraId="2C1FEB90" w14:textId="77777777" w:rsidR="00F74350" w:rsidRDefault="00F74350" w:rsidP="00F006BF">
      <w:pPr>
        <w:pStyle w:val="PR1"/>
      </w:pPr>
      <w:r>
        <w:t>Supplier’s Certificate: Certify that products meet or exceed specified requirements.</w:t>
      </w:r>
    </w:p>
    <w:p w14:paraId="5F9CC1FC" w14:textId="77777777" w:rsidR="00F74350" w:rsidRDefault="00F74350" w:rsidP="00BF2717">
      <w:pPr>
        <w:pStyle w:val="ART"/>
      </w:pPr>
      <w:r>
        <w:t>QUALITY ASSURANCE</w:t>
      </w:r>
    </w:p>
    <w:p w14:paraId="1BCAD61D" w14:textId="77777777" w:rsidR="00F74350" w:rsidRDefault="00F74350" w:rsidP="00F006BF">
      <w:pPr>
        <w:pStyle w:val="PR1"/>
      </w:pPr>
      <w:r>
        <w:t>Furnish each aggregate and/or topsoil material from a single source throughout the Work.</w:t>
      </w:r>
    </w:p>
    <w:p w14:paraId="4F84C9C9" w14:textId="77777777" w:rsidR="00F74350" w:rsidRDefault="00F74350" w:rsidP="00BF2717">
      <w:pPr>
        <w:pStyle w:val="PRT"/>
      </w:pPr>
      <w:r>
        <w:t>PRODUCTS</w:t>
      </w:r>
    </w:p>
    <w:p w14:paraId="343E0727" w14:textId="6A1FFC5D" w:rsidR="00F74350" w:rsidRDefault="00F74350" w:rsidP="00BF2717">
      <w:pPr>
        <w:pStyle w:val="ART"/>
      </w:pPr>
      <w:r>
        <w:t>SOIL/STONE MATERIALS</w:t>
      </w:r>
    </w:p>
    <w:p w14:paraId="4AA5228F" w14:textId="77777777" w:rsidR="00F74350" w:rsidRDefault="00F74350" w:rsidP="00DA4692">
      <w:pPr>
        <w:pStyle w:val="SpecifierNote"/>
      </w:pPr>
      <w:bookmarkStart w:id="0" w:name="_Hlk126003209"/>
      <w:r>
        <w:t>Retain only the materials used in the Project.</w:t>
      </w:r>
    </w:p>
    <w:p w14:paraId="3C2B950D" w14:textId="77777777" w:rsidR="00F74350" w:rsidRDefault="00F74350" w:rsidP="003C3A51">
      <w:pPr>
        <w:pStyle w:val="PR1"/>
      </w:pPr>
      <w:r>
        <w:t>Select Granular Material.</w:t>
      </w:r>
    </w:p>
    <w:p w14:paraId="6F01EA0A" w14:textId="77777777" w:rsidR="00F74350" w:rsidRDefault="00F74350" w:rsidP="00DA4692">
      <w:pPr>
        <w:pStyle w:val="PR2"/>
        <w:contextualSpacing w:val="0"/>
      </w:pPr>
      <w:r>
        <w:t xml:space="preserve">Description: </w:t>
      </w:r>
      <w:r w:rsidRPr="003C3A51">
        <w:t>Stockpiled, sound, durable, sand, gravel, stone, or blends of these materials</w:t>
      </w:r>
      <w:r>
        <w:t>.</w:t>
      </w:r>
    </w:p>
    <w:p w14:paraId="377C6510" w14:textId="77777777" w:rsidR="00F74350" w:rsidRDefault="00F74350" w:rsidP="00F74350">
      <w:pPr>
        <w:pStyle w:val="PR2"/>
        <w:spacing w:before="0"/>
        <w:contextualSpacing w:val="0"/>
      </w:pPr>
      <w:r>
        <w:t>Quality: Free of organic and other deleterious materials.</w:t>
      </w:r>
    </w:p>
    <w:p w14:paraId="3A3DF227" w14:textId="77777777" w:rsidR="00F74350" w:rsidRDefault="00F74350" w:rsidP="00F74350">
      <w:pPr>
        <w:pStyle w:val="PR2"/>
        <w:spacing w:before="0"/>
        <w:contextualSpacing w:val="0"/>
      </w:pPr>
      <w:r>
        <w:t>Magnesium Sulfate Soundness Test: 20% maximum loss by weight after four test cycles.</w:t>
      </w:r>
    </w:p>
    <w:p w14:paraId="757F85C0" w14:textId="77777777" w:rsidR="00F74350" w:rsidRDefault="00F74350" w:rsidP="00F74350">
      <w:pPr>
        <w:pStyle w:val="PR2"/>
        <w:spacing w:before="0"/>
        <w:contextualSpacing w:val="0"/>
      </w:pPr>
      <w:r>
        <w:t>Plasticity Index: The plasticity index of the material passing the No. 40 mesh sieve shall not exceed 5.0.</w:t>
      </w:r>
    </w:p>
    <w:p w14:paraId="383B10CF" w14:textId="65094853" w:rsidR="00F74350" w:rsidRDefault="00F74350" w:rsidP="00F74350">
      <w:pPr>
        <w:pStyle w:val="PR2"/>
        <w:spacing w:before="0"/>
        <w:contextualSpacing w:val="0"/>
      </w:pPr>
      <w:bookmarkStart w:id="1" w:name="_Hlk126003534"/>
      <w:r w:rsidRPr="0076488A">
        <w:t>Elongated Particles: Not more than 30</w:t>
      </w:r>
      <w:r>
        <w:t>%</w:t>
      </w:r>
      <w:r w:rsidRPr="0076488A">
        <w:t xml:space="preserve">, by weight, of the particles retained on a </w:t>
      </w:r>
      <w:r>
        <w:t xml:space="preserve">½ </w:t>
      </w:r>
      <w:r w:rsidRPr="0076488A">
        <w:t>inch sieve will consist of flat or elongated particles. A flat or elongated particle is defined as one which has its greatest dimension more than three times its least dimension.</w:t>
      </w:r>
    </w:p>
    <w:bookmarkEnd w:id="1"/>
    <w:p w14:paraId="4D00AAFE" w14:textId="30288CAB" w:rsidR="00F74350" w:rsidRDefault="00F74350" w:rsidP="00DA4692">
      <w:pPr>
        <w:pStyle w:val="PR2"/>
        <w:spacing w:before="0" w:after="240"/>
        <w:contextualSpacing w:val="0"/>
      </w:pPr>
      <w:r w:rsidRPr="00BA4818">
        <w:t>Comply with the gradation requirements specified below:</w:t>
      </w:r>
    </w:p>
    <w:tbl>
      <w:tblPr>
        <w:tblW w:w="0" w:type="auto"/>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214"/>
      </w:tblGrid>
      <w:tr w:rsidR="00F74350" w:rsidRPr="00D07330" w14:paraId="6B158BD8" w14:textId="77777777" w:rsidTr="002138FB">
        <w:trPr>
          <w:tblHeader/>
        </w:trPr>
        <w:tc>
          <w:tcPr>
            <w:tcW w:w="2214" w:type="dxa"/>
            <w:vAlign w:val="center"/>
          </w:tcPr>
          <w:p w14:paraId="2DACAB4A" w14:textId="77777777" w:rsidR="00F74350" w:rsidRPr="00D07330" w:rsidRDefault="00F74350" w:rsidP="00D07330">
            <w:pPr>
              <w:overflowPunct w:val="0"/>
              <w:autoSpaceDE w:val="0"/>
              <w:autoSpaceDN w:val="0"/>
              <w:adjustRightInd w:val="0"/>
              <w:jc w:val="center"/>
              <w:textAlignment w:val="baseline"/>
              <w:rPr>
                <w:b/>
              </w:rPr>
            </w:pPr>
            <w:r w:rsidRPr="00D07330">
              <w:rPr>
                <w:b/>
              </w:rPr>
              <w:t>Sieve Size</w:t>
            </w:r>
          </w:p>
        </w:tc>
        <w:tc>
          <w:tcPr>
            <w:tcW w:w="2214" w:type="dxa"/>
            <w:vAlign w:val="center"/>
          </w:tcPr>
          <w:p w14:paraId="543407A1" w14:textId="77777777" w:rsidR="00F74350" w:rsidRPr="00D07330" w:rsidRDefault="00F74350" w:rsidP="00D07330">
            <w:pPr>
              <w:overflowPunct w:val="0"/>
              <w:autoSpaceDE w:val="0"/>
              <w:autoSpaceDN w:val="0"/>
              <w:adjustRightInd w:val="0"/>
              <w:jc w:val="center"/>
              <w:textAlignment w:val="baseline"/>
            </w:pPr>
            <w:r w:rsidRPr="00D07330">
              <w:rPr>
                <w:b/>
              </w:rPr>
              <w:t>Percent Passing</w:t>
            </w:r>
          </w:p>
        </w:tc>
      </w:tr>
      <w:tr w:rsidR="00F74350" w:rsidRPr="00D07330" w14:paraId="30F097C1" w14:textId="77777777" w:rsidTr="002138FB">
        <w:tc>
          <w:tcPr>
            <w:tcW w:w="2214" w:type="dxa"/>
            <w:vAlign w:val="center"/>
          </w:tcPr>
          <w:p w14:paraId="34A2CDF0" w14:textId="77777777" w:rsidR="00F74350" w:rsidRPr="00D07330" w:rsidRDefault="00F74350" w:rsidP="00D07330">
            <w:pPr>
              <w:overflowPunct w:val="0"/>
              <w:autoSpaceDE w:val="0"/>
              <w:autoSpaceDN w:val="0"/>
              <w:adjustRightInd w:val="0"/>
              <w:jc w:val="center"/>
              <w:textAlignment w:val="baseline"/>
            </w:pPr>
            <w:r w:rsidRPr="00D07330">
              <w:t>2 inch</w:t>
            </w:r>
          </w:p>
        </w:tc>
        <w:tc>
          <w:tcPr>
            <w:tcW w:w="2214" w:type="dxa"/>
            <w:vAlign w:val="center"/>
          </w:tcPr>
          <w:p w14:paraId="64C33C63" w14:textId="77777777" w:rsidR="00F74350" w:rsidRPr="00D07330" w:rsidRDefault="00F74350" w:rsidP="00D07330">
            <w:pPr>
              <w:overflowPunct w:val="0"/>
              <w:autoSpaceDE w:val="0"/>
              <w:autoSpaceDN w:val="0"/>
              <w:adjustRightInd w:val="0"/>
              <w:jc w:val="center"/>
              <w:textAlignment w:val="baseline"/>
            </w:pPr>
            <w:r w:rsidRPr="00D07330">
              <w:t>100</w:t>
            </w:r>
          </w:p>
        </w:tc>
      </w:tr>
      <w:tr w:rsidR="00F74350" w:rsidRPr="00D07330" w14:paraId="2C937242" w14:textId="77777777" w:rsidTr="002138FB">
        <w:tc>
          <w:tcPr>
            <w:tcW w:w="2214" w:type="dxa"/>
            <w:vAlign w:val="center"/>
          </w:tcPr>
          <w:p w14:paraId="18FA8F46" w14:textId="77777777" w:rsidR="00F74350" w:rsidRPr="00D07330" w:rsidRDefault="00F74350" w:rsidP="00D07330">
            <w:pPr>
              <w:overflowPunct w:val="0"/>
              <w:autoSpaceDE w:val="0"/>
              <w:autoSpaceDN w:val="0"/>
              <w:adjustRightInd w:val="0"/>
              <w:jc w:val="center"/>
              <w:textAlignment w:val="baseline"/>
            </w:pPr>
            <w:r w:rsidRPr="00D07330">
              <w:t>1/4 inch</w:t>
            </w:r>
          </w:p>
        </w:tc>
        <w:tc>
          <w:tcPr>
            <w:tcW w:w="2214" w:type="dxa"/>
            <w:vAlign w:val="center"/>
          </w:tcPr>
          <w:p w14:paraId="5F5720D5" w14:textId="77777777" w:rsidR="00F74350" w:rsidRPr="00D07330" w:rsidRDefault="00F74350" w:rsidP="00D07330">
            <w:pPr>
              <w:overflowPunct w:val="0"/>
              <w:autoSpaceDE w:val="0"/>
              <w:autoSpaceDN w:val="0"/>
              <w:adjustRightInd w:val="0"/>
              <w:jc w:val="center"/>
              <w:textAlignment w:val="baseline"/>
            </w:pPr>
            <w:r w:rsidRPr="00D07330">
              <w:t>30-65</w:t>
            </w:r>
          </w:p>
        </w:tc>
      </w:tr>
      <w:tr w:rsidR="00F74350" w:rsidRPr="00D07330" w14:paraId="272878FA" w14:textId="77777777" w:rsidTr="002138FB">
        <w:tc>
          <w:tcPr>
            <w:tcW w:w="2214" w:type="dxa"/>
            <w:vAlign w:val="center"/>
          </w:tcPr>
          <w:p w14:paraId="2F931084" w14:textId="77777777" w:rsidR="00F74350" w:rsidRPr="00D07330" w:rsidRDefault="00F74350" w:rsidP="00D07330">
            <w:pPr>
              <w:overflowPunct w:val="0"/>
              <w:autoSpaceDE w:val="0"/>
              <w:autoSpaceDN w:val="0"/>
              <w:adjustRightInd w:val="0"/>
              <w:jc w:val="center"/>
              <w:textAlignment w:val="baseline"/>
            </w:pPr>
            <w:r w:rsidRPr="00D07330">
              <w:t>No. 40</w:t>
            </w:r>
          </w:p>
        </w:tc>
        <w:tc>
          <w:tcPr>
            <w:tcW w:w="2214" w:type="dxa"/>
            <w:vAlign w:val="center"/>
          </w:tcPr>
          <w:p w14:paraId="37ED56D2" w14:textId="77777777" w:rsidR="00F74350" w:rsidRPr="00D07330" w:rsidRDefault="00F74350" w:rsidP="00D07330">
            <w:pPr>
              <w:overflowPunct w:val="0"/>
              <w:autoSpaceDE w:val="0"/>
              <w:autoSpaceDN w:val="0"/>
              <w:adjustRightInd w:val="0"/>
              <w:jc w:val="center"/>
              <w:textAlignment w:val="baseline"/>
            </w:pPr>
            <w:r w:rsidRPr="00D07330">
              <w:t>5-40</w:t>
            </w:r>
          </w:p>
        </w:tc>
      </w:tr>
      <w:tr w:rsidR="00F74350" w:rsidRPr="00D07330" w14:paraId="26A80597" w14:textId="77777777" w:rsidTr="002138FB">
        <w:tc>
          <w:tcPr>
            <w:tcW w:w="2214" w:type="dxa"/>
            <w:vAlign w:val="center"/>
          </w:tcPr>
          <w:p w14:paraId="56B5DB9F" w14:textId="77777777" w:rsidR="00F74350" w:rsidRPr="00D07330" w:rsidRDefault="00F74350" w:rsidP="00D07330">
            <w:pPr>
              <w:overflowPunct w:val="0"/>
              <w:autoSpaceDE w:val="0"/>
              <w:autoSpaceDN w:val="0"/>
              <w:adjustRightInd w:val="0"/>
              <w:jc w:val="center"/>
              <w:textAlignment w:val="baseline"/>
            </w:pPr>
            <w:r w:rsidRPr="00D07330">
              <w:t>No. 200</w:t>
            </w:r>
          </w:p>
        </w:tc>
        <w:tc>
          <w:tcPr>
            <w:tcW w:w="2214" w:type="dxa"/>
            <w:vAlign w:val="center"/>
          </w:tcPr>
          <w:p w14:paraId="19B74392" w14:textId="77777777" w:rsidR="00F74350" w:rsidRPr="00D07330" w:rsidRDefault="00F74350" w:rsidP="00D07330">
            <w:pPr>
              <w:overflowPunct w:val="0"/>
              <w:autoSpaceDE w:val="0"/>
              <w:autoSpaceDN w:val="0"/>
              <w:adjustRightInd w:val="0"/>
              <w:jc w:val="center"/>
              <w:textAlignment w:val="baseline"/>
            </w:pPr>
            <w:r w:rsidRPr="00D07330">
              <w:t>0-10</w:t>
            </w:r>
          </w:p>
        </w:tc>
      </w:tr>
    </w:tbl>
    <w:bookmarkEnd w:id="0"/>
    <w:p w14:paraId="46B34C8C" w14:textId="77777777" w:rsidR="00F74350" w:rsidRDefault="00F74350" w:rsidP="00126C5D">
      <w:pPr>
        <w:pStyle w:val="PR1"/>
      </w:pPr>
      <w:r>
        <w:t>Subbase Course Type 2.</w:t>
      </w:r>
    </w:p>
    <w:p w14:paraId="678C83F4" w14:textId="77777777" w:rsidR="00F74350" w:rsidRDefault="00F74350" w:rsidP="00DA4692">
      <w:pPr>
        <w:pStyle w:val="PR2"/>
        <w:contextualSpacing w:val="0"/>
      </w:pPr>
      <w:r>
        <w:t xml:space="preserve">Description: </w:t>
      </w:r>
      <w:r w:rsidRPr="0076488A">
        <w:t>Stockpiled, crushed ledge rock or approved blast furnace slag.</w:t>
      </w:r>
    </w:p>
    <w:p w14:paraId="14AF1377" w14:textId="77777777" w:rsidR="00F74350" w:rsidRDefault="00F74350" w:rsidP="00F74350">
      <w:pPr>
        <w:pStyle w:val="PR2"/>
        <w:spacing w:before="0"/>
        <w:contextualSpacing w:val="0"/>
      </w:pPr>
      <w:r>
        <w:t>Quality: Free of organic and other deleterious materials.</w:t>
      </w:r>
    </w:p>
    <w:p w14:paraId="1B8A7E52" w14:textId="77777777" w:rsidR="00F74350" w:rsidRDefault="00F74350" w:rsidP="00F74350">
      <w:pPr>
        <w:pStyle w:val="PR2"/>
        <w:spacing w:before="0"/>
        <w:contextualSpacing w:val="0"/>
      </w:pPr>
      <w:r>
        <w:t>Magnesium Sulfate Soundness Test: 20% maximum loss by weight after four test cycles.</w:t>
      </w:r>
    </w:p>
    <w:p w14:paraId="2B1CCB35" w14:textId="77777777" w:rsidR="00F74350" w:rsidRDefault="00F74350" w:rsidP="00F74350">
      <w:pPr>
        <w:pStyle w:val="PR2"/>
        <w:spacing w:before="0"/>
        <w:contextualSpacing w:val="0"/>
      </w:pPr>
      <w:r>
        <w:t>Plasticity Index: The plasticity index of the material passing the No. 40 mesh sieve shall not exceed 5.0.</w:t>
      </w:r>
    </w:p>
    <w:p w14:paraId="0AAC8BAC" w14:textId="52E79AF1" w:rsidR="00F74350" w:rsidRDefault="00F74350" w:rsidP="00F74350">
      <w:pPr>
        <w:pStyle w:val="PR2"/>
        <w:spacing w:before="0"/>
        <w:contextualSpacing w:val="0"/>
      </w:pPr>
      <w:r w:rsidRPr="0076488A">
        <w:t>Elongated Particles: Not more than 30%, by weight, of the particles retained on a ½ inch sieve will consist of flat or elongated particles. A flat or elongated particle is defined as one which has its greatest dimension more than three times its least dimension.</w:t>
      </w:r>
    </w:p>
    <w:p w14:paraId="1876E9AD" w14:textId="1A2FE1D3" w:rsidR="00F74350" w:rsidRDefault="00F74350" w:rsidP="00F74350">
      <w:pPr>
        <w:pStyle w:val="PR2"/>
        <w:spacing w:before="0"/>
        <w:contextualSpacing w:val="0"/>
      </w:pPr>
      <w:r w:rsidRPr="00D07330">
        <w:t>Comply with the gradation requirements specified below:</w:t>
      </w:r>
    </w:p>
    <w:tbl>
      <w:tblPr>
        <w:tblW w:w="0" w:type="auto"/>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214"/>
      </w:tblGrid>
      <w:tr w:rsidR="00F74350" w:rsidRPr="00D07330" w14:paraId="5CF25F0A" w14:textId="77777777" w:rsidTr="00ED5D8E">
        <w:trPr>
          <w:tblHeader/>
        </w:trPr>
        <w:tc>
          <w:tcPr>
            <w:tcW w:w="2214" w:type="dxa"/>
            <w:vAlign w:val="center"/>
          </w:tcPr>
          <w:p w14:paraId="24EF616C" w14:textId="77777777" w:rsidR="00F74350" w:rsidRPr="00D07330" w:rsidRDefault="00F74350" w:rsidP="00ED5D8E">
            <w:pPr>
              <w:overflowPunct w:val="0"/>
              <w:autoSpaceDE w:val="0"/>
              <w:autoSpaceDN w:val="0"/>
              <w:adjustRightInd w:val="0"/>
              <w:jc w:val="center"/>
              <w:textAlignment w:val="baseline"/>
              <w:rPr>
                <w:b/>
              </w:rPr>
            </w:pPr>
            <w:r w:rsidRPr="00D07330">
              <w:rPr>
                <w:b/>
              </w:rPr>
              <w:t>Sieve Size</w:t>
            </w:r>
          </w:p>
        </w:tc>
        <w:tc>
          <w:tcPr>
            <w:tcW w:w="2214" w:type="dxa"/>
            <w:vAlign w:val="center"/>
          </w:tcPr>
          <w:p w14:paraId="0E794255" w14:textId="77777777" w:rsidR="00F74350" w:rsidRPr="00D07330" w:rsidRDefault="00F74350" w:rsidP="00ED5D8E">
            <w:pPr>
              <w:overflowPunct w:val="0"/>
              <w:autoSpaceDE w:val="0"/>
              <w:autoSpaceDN w:val="0"/>
              <w:adjustRightInd w:val="0"/>
              <w:jc w:val="center"/>
              <w:textAlignment w:val="baseline"/>
            </w:pPr>
            <w:r w:rsidRPr="00D07330">
              <w:rPr>
                <w:b/>
              </w:rPr>
              <w:t>Percent Passing</w:t>
            </w:r>
          </w:p>
        </w:tc>
      </w:tr>
      <w:tr w:rsidR="00F74350" w:rsidRPr="00D07330" w14:paraId="04FE18C4" w14:textId="77777777" w:rsidTr="00ED5D8E">
        <w:tc>
          <w:tcPr>
            <w:tcW w:w="2214" w:type="dxa"/>
            <w:vAlign w:val="center"/>
          </w:tcPr>
          <w:p w14:paraId="5934EA42" w14:textId="77777777" w:rsidR="00F74350" w:rsidRPr="00D07330" w:rsidRDefault="00F74350" w:rsidP="00ED5D8E">
            <w:pPr>
              <w:overflowPunct w:val="0"/>
              <w:autoSpaceDE w:val="0"/>
              <w:autoSpaceDN w:val="0"/>
              <w:adjustRightInd w:val="0"/>
              <w:jc w:val="center"/>
              <w:textAlignment w:val="baseline"/>
            </w:pPr>
            <w:r w:rsidRPr="00D07330">
              <w:t>2 inch</w:t>
            </w:r>
          </w:p>
        </w:tc>
        <w:tc>
          <w:tcPr>
            <w:tcW w:w="2214" w:type="dxa"/>
            <w:vAlign w:val="center"/>
          </w:tcPr>
          <w:p w14:paraId="5E0BC7D5" w14:textId="77777777" w:rsidR="00F74350" w:rsidRPr="00D07330" w:rsidRDefault="00F74350" w:rsidP="00ED5D8E">
            <w:pPr>
              <w:overflowPunct w:val="0"/>
              <w:autoSpaceDE w:val="0"/>
              <w:autoSpaceDN w:val="0"/>
              <w:adjustRightInd w:val="0"/>
              <w:jc w:val="center"/>
              <w:textAlignment w:val="baseline"/>
            </w:pPr>
            <w:r w:rsidRPr="00D07330">
              <w:t>100</w:t>
            </w:r>
          </w:p>
        </w:tc>
      </w:tr>
      <w:tr w:rsidR="00F74350" w:rsidRPr="00D07330" w14:paraId="61F303CF" w14:textId="77777777" w:rsidTr="00ED5D8E">
        <w:tc>
          <w:tcPr>
            <w:tcW w:w="2214" w:type="dxa"/>
            <w:vAlign w:val="center"/>
          </w:tcPr>
          <w:p w14:paraId="2308B746" w14:textId="77777777" w:rsidR="00F74350" w:rsidRPr="00D07330" w:rsidRDefault="00F74350" w:rsidP="00ED5D8E">
            <w:pPr>
              <w:overflowPunct w:val="0"/>
              <w:autoSpaceDE w:val="0"/>
              <w:autoSpaceDN w:val="0"/>
              <w:adjustRightInd w:val="0"/>
              <w:jc w:val="center"/>
              <w:textAlignment w:val="baseline"/>
            </w:pPr>
            <w:r w:rsidRPr="00D07330">
              <w:t>1/4 inch</w:t>
            </w:r>
          </w:p>
        </w:tc>
        <w:tc>
          <w:tcPr>
            <w:tcW w:w="2214" w:type="dxa"/>
            <w:vAlign w:val="center"/>
          </w:tcPr>
          <w:p w14:paraId="206BC861" w14:textId="77777777" w:rsidR="00F74350" w:rsidRPr="00D07330" w:rsidRDefault="00F74350" w:rsidP="00ED5D8E">
            <w:pPr>
              <w:overflowPunct w:val="0"/>
              <w:autoSpaceDE w:val="0"/>
              <w:autoSpaceDN w:val="0"/>
              <w:adjustRightInd w:val="0"/>
              <w:jc w:val="center"/>
              <w:textAlignment w:val="baseline"/>
            </w:pPr>
            <w:r>
              <w:t>25</w:t>
            </w:r>
            <w:r w:rsidRPr="00D07330">
              <w:t>-6</w:t>
            </w:r>
            <w:r>
              <w:t>0</w:t>
            </w:r>
          </w:p>
        </w:tc>
      </w:tr>
      <w:tr w:rsidR="00F74350" w:rsidRPr="00D07330" w14:paraId="7225AF52" w14:textId="77777777" w:rsidTr="00ED5D8E">
        <w:tc>
          <w:tcPr>
            <w:tcW w:w="2214" w:type="dxa"/>
            <w:vAlign w:val="center"/>
          </w:tcPr>
          <w:p w14:paraId="42E5FC7B" w14:textId="77777777" w:rsidR="00F74350" w:rsidRPr="00D07330" w:rsidRDefault="00F74350" w:rsidP="00ED5D8E">
            <w:pPr>
              <w:overflowPunct w:val="0"/>
              <w:autoSpaceDE w:val="0"/>
              <w:autoSpaceDN w:val="0"/>
              <w:adjustRightInd w:val="0"/>
              <w:jc w:val="center"/>
              <w:textAlignment w:val="baseline"/>
            </w:pPr>
            <w:r w:rsidRPr="00D07330">
              <w:t>No. 40</w:t>
            </w:r>
          </w:p>
        </w:tc>
        <w:tc>
          <w:tcPr>
            <w:tcW w:w="2214" w:type="dxa"/>
            <w:vAlign w:val="center"/>
          </w:tcPr>
          <w:p w14:paraId="0C13E430" w14:textId="77777777" w:rsidR="00F74350" w:rsidRPr="00D07330" w:rsidRDefault="00F74350" w:rsidP="00ED5D8E">
            <w:pPr>
              <w:overflowPunct w:val="0"/>
              <w:autoSpaceDE w:val="0"/>
              <w:autoSpaceDN w:val="0"/>
              <w:adjustRightInd w:val="0"/>
              <w:jc w:val="center"/>
              <w:textAlignment w:val="baseline"/>
            </w:pPr>
            <w:r w:rsidRPr="00D07330">
              <w:t>5-40</w:t>
            </w:r>
          </w:p>
        </w:tc>
      </w:tr>
      <w:tr w:rsidR="00F74350" w:rsidRPr="00D07330" w14:paraId="441C4DF5" w14:textId="77777777" w:rsidTr="00ED5D8E">
        <w:tc>
          <w:tcPr>
            <w:tcW w:w="2214" w:type="dxa"/>
            <w:vAlign w:val="center"/>
          </w:tcPr>
          <w:p w14:paraId="2AC3CB3C" w14:textId="77777777" w:rsidR="00F74350" w:rsidRPr="00D07330" w:rsidRDefault="00F74350" w:rsidP="00ED5D8E">
            <w:pPr>
              <w:overflowPunct w:val="0"/>
              <w:autoSpaceDE w:val="0"/>
              <w:autoSpaceDN w:val="0"/>
              <w:adjustRightInd w:val="0"/>
              <w:jc w:val="center"/>
              <w:textAlignment w:val="baseline"/>
            </w:pPr>
            <w:r w:rsidRPr="00D07330">
              <w:t>No. 200</w:t>
            </w:r>
          </w:p>
        </w:tc>
        <w:tc>
          <w:tcPr>
            <w:tcW w:w="2214" w:type="dxa"/>
            <w:vAlign w:val="center"/>
          </w:tcPr>
          <w:p w14:paraId="34588CBF" w14:textId="77777777" w:rsidR="00F74350" w:rsidRPr="00D07330" w:rsidRDefault="00F74350" w:rsidP="00ED5D8E">
            <w:pPr>
              <w:overflowPunct w:val="0"/>
              <w:autoSpaceDE w:val="0"/>
              <w:autoSpaceDN w:val="0"/>
              <w:adjustRightInd w:val="0"/>
              <w:jc w:val="center"/>
              <w:textAlignment w:val="baseline"/>
            </w:pPr>
            <w:r w:rsidRPr="00D07330">
              <w:t>0-10</w:t>
            </w:r>
          </w:p>
        </w:tc>
      </w:tr>
    </w:tbl>
    <w:p w14:paraId="249F8BA0" w14:textId="77777777" w:rsidR="00F74350" w:rsidRDefault="00F74350" w:rsidP="00DA4692">
      <w:pPr>
        <w:pStyle w:val="SpecifierNote"/>
      </w:pPr>
      <w:r>
        <w:t>If excavated on-site soils meet the requirements of Selected Fill, select Excavated and Reused Material. If Selected Fill is to be imported, select Imported Borrow. Type of on-site material should be known prior to preparing this Section. Consult with soils engineer, if required.</w:t>
      </w:r>
    </w:p>
    <w:p w14:paraId="17BC3B84" w14:textId="77777777" w:rsidR="00F74350" w:rsidRDefault="00F74350" w:rsidP="0076488A">
      <w:pPr>
        <w:pStyle w:val="PR1"/>
      </w:pPr>
      <w:r>
        <w:t>Selected Fill.</w:t>
      </w:r>
    </w:p>
    <w:p w14:paraId="2B43E7E2" w14:textId="77777777" w:rsidR="00F74350" w:rsidRDefault="00F74350" w:rsidP="00DA4692">
      <w:pPr>
        <w:pStyle w:val="PR2"/>
        <w:contextualSpacing w:val="0"/>
      </w:pPr>
      <w:r>
        <w:t xml:space="preserve">Source: </w:t>
      </w:r>
      <w:bookmarkStart w:id="2" w:name="_Hlk126007256"/>
      <w:r>
        <w:t>[</w:t>
      </w:r>
      <w:r w:rsidRPr="00FB6360">
        <w:rPr>
          <w:b/>
        </w:rPr>
        <w:t>Excavated and Reused Material</w:t>
      </w:r>
      <w:r>
        <w:t>] [</w:t>
      </w:r>
      <w:r w:rsidRPr="00FB6360">
        <w:rPr>
          <w:b/>
        </w:rPr>
        <w:t>Imported Borrow</w:t>
      </w:r>
      <w:r>
        <w:t>]</w:t>
      </w:r>
    </w:p>
    <w:bookmarkEnd w:id="2"/>
    <w:p w14:paraId="67239407" w14:textId="77777777" w:rsidR="00F74350" w:rsidRDefault="00F74350" w:rsidP="00F74350">
      <w:pPr>
        <w:pStyle w:val="PR2"/>
        <w:spacing w:before="0"/>
        <w:contextualSpacing w:val="0"/>
      </w:pPr>
      <w:r>
        <w:t xml:space="preserve">Description: </w:t>
      </w:r>
      <w:r w:rsidRPr="0076488A">
        <w:t>Sound, durable, sand, gravel, stone, or blends of these materials</w:t>
      </w:r>
      <w:r>
        <w:t>.</w:t>
      </w:r>
    </w:p>
    <w:p w14:paraId="5AF2C2F5" w14:textId="77777777" w:rsidR="00F74350" w:rsidRDefault="00F74350" w:rsidP="00F74350">
      <w:pPr>
        <w:pStyle w:val="PR2"/>
        <w:spacing w:before="0"/>
        <w:contextualSpacing w:val="0"/>
      </w:pPr>
      <w:r>
        <w:t>Quality: Free of organic and other deleterious materials.</w:t>
      </w:r>
    </w:p>
    <w:p w14:paraId="7293E205" w14:textId="5A3019B6" w:rsidR="00F74350" w:rsidRDefault="00F74350" w:rsidP="00DA4692">
      <w:pPr>
        <w:pStyle w:val="PR2"/>
        <w:spacing w:before="0" w:after="240"/>
        <w:contextualSpacing w:val="0"/>
      </w:pPr>
      <w:r w:rsidRPr="00D07330">
        <w:t>Comply with the gradation requirements specified below</w:t>
      </w:r>
      <w:r>
        <w:t>:</w:t>
      </w:r>
    </w:p>
    <w:tbl>
      <w:tblPr>
        <w:tblW w:w="0" w:type="auto"/>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214"/>
      </w:tblGrid>
      <w:tr w:rsidR="00F74350" w:rsidRPr="00D07330" w14:paraId="07785E5A" w14:textId="77777777" w:rsidTr="00ED5D8E">
        <w:trPr>
          <w:tblHeader/>
        </w:trPr>
        <w:tc>
          <w:tcPr>
            <w:tcW w:w="2214" w:type="dxa"/>
            <w:vAlign w:val="center"/>
          </w:tcPr>
          <w:p w14:paraId="2E52C7BD" w14:textId="77777777" w:rsidR="00F74350" w:rsidRPr="00D07330" w:rsidRDefault="00F74350" w:rsidP="00ED5D8E">
            <w:pPr>
              <w:overflowPunct w:val="0"/>
              <w:autoSpaceDE w:val="0"/>
              <w:autoSpaceDN w:val="0"/>
              <w:adjustRightInd w:val="0"/>
              <w:jc w:val="center"/>
              <w:textAlignment w:val="baseline"/>
              <w:rPr>
                <w:b/>
              </w:rPr>
            </w:pPr>
            <w:r w:rsidRPr="00D07330">
              <w:rPr>
                <w:b/>
              </w:rPr>
              <w:t>Sieve Size</w:t>
            </w:r>
          </w:p>
        </w:tc>
        <w:tc>
          <w:tcPr>
            <w:tcW w:w="2214" w:type="dxa"/>
            <w:vAlign w:val="center"/>
          </w:tcPr>
          <w:p w14:paraId="38C5631F" w14:textId="77777777" w:rsidR="00F74350" w:rsidRPr="00D07330" w:rsidRDefault="00F74350" w:rsidP="00ED5D8E">
            <w:pPr>
              <w:overflowPunct w:val="0"/>
              <w:autoSpaceDE w:val="0"/>
              <w:autoSpaceDN w:val="0"/>
              <w:adjustRightInd w:val="0"/>
              <w:jc w:val="center"/>
              <w:textAlignment w:val="baseline"/>
            </w:pPr>
            <w:r w:rsidRPr="00D07330">
              <w:rPr>
                <w:b/>
              </w:rPr>
              <w:t>Percent Passing</w:t>
            </w:r>
          </w:p>
        </w:tc>
      </w:tr>
      <w:tr w:rsidR="00F74350" w:rsidRPr="00D07330" w14:paraId="11BA89D6" w14:textId="77777777" w:rsidTr="00ED5D8E">
        <w:tc>
          <w:tcPr>
            <w:tcW w:w="2214" w:type="dxa"/>
            <w:vAlign w:val="center"/>
          </w:tcPr>
          <w:p w14:paraId="2FC85E1D" w14:textId="77777777" w:rsidR="00F74350" w:rsidRPr="00D07330" w:rsidRDefault="00F74350" w:rsidP="00ED5D8E">
            <w:pPr>
              <w:overflowPunct w:val="0"/>
              <w:autoSpaceDE w:val="0"/>
              <w:autoSpaceDN w:val="0"/>
              <w:adjustRightInd w:val="0"/>
              <w:jc w:val="center"/>
              <w:textAlignment w:val="baseline"/>
            </w:pPr>
            <w:r>
              <w:t>4</w:t>
            </w:r>
            <w:r w:rsidRPr="00D07330">
              <w:t xml:space="preserve"> inch</w:t>
            </w:r>
          </w:p>
        </w:tc>
        <w:tc>
          <w:tcPr>
            <w:tcW w:w="2214" w:type="dxa"/>
            <w:vAlign w:val="center"/>
          </w:tcPr>
          <w:p w14:paraId="34CF59F3" w14:textId="77777777" w:rsidR="00F74350" w:rsidRPr="00D07330" w:rsidRDefault="00F74350" w:rsidP="00ED5D8E">
            <w:pPr>
              <w:overflowPunct w:val="0"/>
              <w:autoSpaceDE w:val="0"/>
              <w:autoSpaceDN w:val="0"/>
              <w:adjustRightInd w:val="0"/>
              <w:jc w:val="center"/>
              <w:textAlignment w:val="baseline"/>
            </w:pPr>
            <w:r w:rsidRPr="00D07330">
              <w:t>100</w:t>
            </w:r>
          </w:p>
        </w:tc>
      </w:tr>
      <w:tr w:rsidR="00F74350" w:rsidRPr="00D07330" w14:paraId="715BBFD2" w14:textId="77777777" w:rsidTr="00ED5D8E">
        <w:tc>
          <w:tcPr>
            <w:tcW w:w="2214" w:type="dxa"/>
            <w:vAlign w:val="center"/>
          </w:tcPr>
          <w:p w14:paraId="3C467FF4" w14:textId="77777777" w:rsidR="00F74350" w:rsidRPr="00D07330" w:rsidRDefault="00F74350" w:rsidP="00ED5D8E">
            <w:pPr>
              <w:overflowPunct w:val="0"/>
              <w:autoSpaceDE w:val="0"/>
              <w:autoSpaceDN w:val="0"/>
              <w:adjustRightInd w:val="0"/>
              <w:jc w:val="center"/>
              <w:textAlignment w:val="baseline"/>
            </w:pPr>
            <w:r w:rsidRPr="00D07330">
              <w:t>No. 40</w:t>
            </w:r>
          </w:p>
        </w:tc>
        <w:tc>
          <w:tcPr>
            <w:tcW w:w="2214" w:type="dxa"/>
            <w:vAlign w:val="center"/>
          </w:tcPr>
          <w:p w14:paraId="77A789BB" w14:textId="77777777" w:rsidR="00F74350" w:rsidRPr="00D07330" w:rsidRDefault="00F74350" w:rsidP="00ED5D8E">
            <w:pPr>
              <w:overflowPunct w:val="0"/>
              <w:autoSpaceDE w:val="0"/>
              <w:autoSpaceDN w:val="0"/>
              <w:adjustRightInd w:val="0"/>
              <w:jc w:val="center"/>
              <w:textAlignment w:val="baseline"/>
            </w:pPr>
            <w:r>
              <w:t>0</w:t>
            </w:r>
            <w:r w:rsidRPr="00D07330">
              <w:t>-</w:t>
            </w:r>
            <w:r>
              <w:t>7</w:t>
            </w:r>
            <w:r w:rsidRPr="00D07330">
              <w:t>0</w:t>
            </w:r>
          </w:p>
        </w:tc>
      </w:tr>
      <w:tr w:rsidR="00F74350" w:rsidRPr="00D07330" w14:paraId="63841C89" w14:textId="77777777" w:rsidTr="00ED5D8E">
        <w:tc>
          <w:tcPr>
            <w:tcW w:w="2214" w:type="dxa"/>
            <w:vAlign w:val="center"/>
          </w:tcPr>
          <w:p w14:paraId="67DAC2EA" w14:textId="77777777" w:rsidR="00F74350" w:rsidRPr="00D07330" w:rsidRDefault="00F74350" w:rsidP="00ED5D8E">
            <w:pPr>
              <w:overflowPunct w:val="0"/>
              <w:autoSpaceDE w:val="0"/>
              <w:autoSpaceDN w:val="0"/>
              <w:adjustRightInd w:val="0"/>
              <w:jc w:val="center"/>
              <w:textAlignment w:val="baseline"/>
            </w:pPr>
            <w:r w:rsidRPr="00D07330">
              <w:t>No. 200</w:t>
            </w:r>
          </w:p>
        </w:tc>
        <w:tc>
          <w:tcPr>
            <w:tcW w:w="2214" w:type="dxa"/>
            <w:vAlign w:val="center"/>
          </w:tcPr>
          <w:p w14:paraId="4E746CF0" w14:textId="77777777" w:rsidR="00F74350" w:rsidRPr="00D07330" w:rsidRDefault="00F74350" w:rsidP="00ED5D8E">
            <w:pPr>
              <w:overflowPunct w:val="0"/>
              <w:autoSpaceDE w:val="0"/>
              <w:autoSpaceDN w:val="0"/>
              <w:adjustRightInd w:val="0"/>
              <w:jc w:val="center"/>
              <w:textAlignment w:val="baseline"/>
            </w:pPr>
            <w:r w:rsidRPr="00D07330">
              <w:t>0-1</w:t>
            </w:r>
            <w:r>
              <w:t>5</w:t>
            </w:r>
          </w:p>
        </w:tc>
      </w:tr>
    </w:tbl>
    <w:p w14:paraId="00AE6985" w14:textId="77777777" w:rsidR="00F74350" w:rsidRDefault="00F74350" w:rsidP="0076488A">
      <w:pPr>
        <w:pStyle w:val="PR1"/>
      </w:pPr>
      <w:bookmarkStart w:id="3" w:name="_Hlk126003929"/>
      <w:r>
        <w:t>Cushion Material.</w:t>
      </w:r>
    </w:p>
    <w:p w14:paraId="3E12BBEE" w14:textId="77777777" w:rsidR="00F74350" w:rsidRDefault="00F74350" w:rsidP="00DA4692">
      <w:pPr>
        <w:pStyle w:val="PR2"/>
        <w:contextualSpacing w:val="0"/>
      </w:pPr>
      <w:r>
        <w:t>Description: C</w:t>
      </w:r>
      <w:r w:rsidRPr="0076488A">
        <w:t>lean, hard, durable, uncoated particles,</w:t>
      </w:r>
    </w:p>
    <w:p w14:paraId="6FC05E2B" w14:textId="77777777" w:rsidR="00F74350" w:rsidRDefault="00F74350" w:rsidP="00F74350">
      <w:pPr>
        <w:pStyle w:val="PR2"/>
        <w:spacing w:before="0"/>
        <w:contextualSpacing w:val="0"/>
      </w:pPr>
      <w:r>
        <w:t>Quality: Free from lumps of clay and all deleterious substances.</w:t>
      </w:r>
    </w:p>
    <w:p w14:paraId="41E99294" w14:textId="26E5AFD4" w:rsidR="00F74350" w:rsidRDefault="00F74350" w:rsidP="00DA4692">
      <w:pPr>
        <w:pStyle w:val="PR2"/>
        <w:spacing w:before="0" w:after="240"/>
        <w:contextualSpacing w:val="0"/>
      </w:pPr>
      <w:r w:rsidRPr="00D07330">
        <w:t>Comply with the gradation requirements specified below</w:t>
      </w:r>
      <w:r>
        <w:t>:</w:t>
      </w:r>
    </w:p>
    <w:tbl>
      <w:tblPr>
        <w:tblW w:w="0" w:type="auto"/>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214"/>
      </w:tblGrid>
      <w:tr w:rsidR="00F74350" w:rsidRPr="00D07330" w14:paraId="2CAB866B" w14:textId="77777777" w:rsidTr="00ED5D8E">
        <w:trPr>
          <w:tblHeader/>
        </w:trPr>
        <w:tc>
          <w:tcPr>
            <w:tcW w:w="2214" w:type="dxa"/>
            <w:vAlign w:val="center"/>
          </w:tcPr>
          <w:p w14:paraId="38A91474" w14:textId="77777777" w:rsidR="00F74350" w:rsidRPr="00D07330" w:rsidRDefault="00F74350" w:rsidP="00ED5D8E">
            <w:pPr>
              <w:overflowPunct w:val="0"/>
              <w:autoSpaceDE w:val="0"/>
              <w:autoSpaceDN w:val="0"/>
              <w:adjustRightInd w:val="0"/>
              <w:jc w:val="center"/>
              <w:textAlignment w:val="baseline"/>
              <w:rPr>
                <w:b/>
              </w:rPr>
            </w:pPr>
            <w:r w:rsidRPr="00D07330">
              <w:rPr>
                <w:b/>
              </w:rPr>
              <w:t>Sieve Size</w:t>
            </w:r>
          </w:p>
        </w:tc>
        <w:tc>
          <w:tcPr>
            <w:tcW w:w="2214" w:type="dxa"/>
            <w:vAlign w:val="center"/>
          </w:tcPr>
          <w:p w14:paraId="49827411" w14:textId="77777777" w:rsidR="00F74350" w:rsidRPr="00D07330" w:rsidRDefault="00F74350" w:rsidP="00ED5D8E">
            <w:pPr>
              <w:overflowPunct w:val="0"/>
              <w:autoSpaceDE w:val="0"/>
              <w:autoSpaceDN w:val="0"/>
              <w:adjustRightInd w:val="0"/>
              <w:jc w:val="center"/>
              <w:textAlignment w:val="baseline"/>
            </w:pPr>
            <w:r w:rsidRPr="00D07330">
              <w:rPr>
                <w:b/>
              </w:rPr>
              <w:t>Percent Passing</w:t>
            </w:r>
          </w:p>
        </w:tc>
      </w:tr>
      <w:tr w:rsidR="00F74350" w:rsidRPr="00D07330" w14:paraId="0C5703F3" w14:textId="77777777" w:rsidTr="00ED5D8E">
        <w:tc>
          <w:tcPr>
            <w:tcW w:w="2214" w:type="dxa"/>
            <w:vAlign w:val="center"/>
          </w:tcPr>
          <w:p w14:paraId="4B509355" w14:textId="77777777" w:rsidR="00F74350" w:rsidRPr="00D07330" w:rsidRDefault="00F74350" w:rsidP="00ED5D8E">
            <w:pPr>
              <w:overflowPunct w:val="0"/>
              <w:autoSpaceDE w:val="0"/>
              <w:autoSpaceDN w:val="0"/>
              <w:adjustRightInd w:val="0"/>
              <w:jc w:val="center"/>
              <w:textAlignment w:val="baseline"/>
            </w:pPr>
            <w:r w:rsidRPr="00D07330">
              <w:t>1/4 inch</w:t>
            </w:r>
          </w:p>
        </w:tc>
        <w:tc>
          <w:tcPr>
            <w:tcW w:w="2214" w:type="dxa"/>
            <w:vAlign w:val="center"/>
          </w:tcPr>
          <w:p w14:paraId="6D310343" w14:textId="77777777" w:rsidR="00F74350" w:rsidRPr="00D07330" w:rsidRDefault="00F74350" w:rsidP="00ED5D8E">
            <w:pPr>
              <w:overflowPunct w:val="0"/>
              <w:autoSpaceDE w:val="0"/>
              <w:autoSpaceDN w:val="0"/>
              <w:adjustRightInd w:val="0"/>
              <w:jc w:val="center"/>
              <w:textAlignment w:val="baseline"/>
            </w:pPr>
            <w:r>
              <w:t>100</w:t>
            </w:r>
          </w:p>
        </w:tc>
      </w:tr>
      <w:tr w:rsidR="00F74350" w:rsidRPr="00D07330" w14:paraId="38E6BB39" w14:textId="77777777" w:rsidTr="00ED5D8E">
        <w:tc>
          <w:tcPr>
            <w:tcW w:w="2214" w:type="dxa"/>
            <w:vAlign w:val="center"/>
          </w:tcPr>
          <w:p w14:paraId="013F3641" w14:textId="77777777" w:rsidR="00F74350" w:rsidRPr="00D07330" w:rsidRDefault="00F74350" w:rsidP="00ED5D8E">
            <w:pPr>
              <w:overflowPunct w:val="0"/>
              <w:autoSpaceDE w:val="0"/>
              <w:autoSpaceDN w:val="0"/>
              <w:adjustRightInd w:val="0"/>
              <w:jc w:val="center"/>
              <w:textAlignment w:val="baseline"/>
            </w:pPr>
            <w:r w:rsidRPr="00D07330">
              <w:t xml:space="preserve">No. </w:t>
            </w:r>
            <w:r>
              <w:t>6</w:t>
            </w:r>
            <w:r w:rsidRPr="00D07330">
              <w:t>0</w:t>
            </w:r>
          </w:p>
        </w:tc>
        <w:tc>
          <w:tcPr>
            <w:tcW w:w="2214" w:type="dxa"/>
            <w:vAlign w:val="center"/>
          </w:tcPr>
          <w:p w14:paraId="71111F32" w14:textId="77777777" w:rsidR="00F74350" w:rsidRPr="00D07330" w:rsidRDefault="00F74350" w:rsidP="00ED5D8E">
            <w:pPr>
              <w:overflowPunct w:val="0"/>
              <w:autoSpaceDE w:val="0"/>
              <w:autoSpaceDN w:val="0"/>
              <w:adjustRightInd w:val="0"/>
              <w:jc w:val="center"/>
              <w:textAlignment w:val="baseline"/>
            </w:pPr>
            <w:r>
              <w:t>0-35</w:t>
            </w:r>
          </w:p>
        </w:tc>
      </w:tr>
      <w:tr w:rsidR="00F74350" w:rsidRPr="00D07330" w14:paraId="386ADEDD" w14:textId="77777777" w:rsidTr="00ED5D8E">
        <w:tc>
          <w:tcPr>
            <w:tcW w:w="2214" w:type="dxa"/>
            <w:vAlign w:val="center"/>
          </w:tcPr>
          <w:p w14:paraId="06A95B0B" w14:textId="77777777" w:rsidR="00F74350" w:rsidRPr="00D07330" w:rsidRDefault="00F74350" w:rsidP="00ED5D8E">
            <w:pPr>
              <w:overflowPunct w:val="0"/>
              <w:autoSpaceDE w:val="0"/>
              <w:autoSpaceDN w:val="0"/>
              <w:adjustRightInd w:val="0"/>
              <w:jc w:val="center"/>
              <w:textAlignment w:val="baseline"/>
            </w:pPr>
            <w:r w:rsidRPr="00D07330">
              <w:t xml:space="preserve">No. </w:t>
            </w:r>
            <w:r>
              <w:t>1</w:t>
            </w:r>
            <w:r w:rsidRPr="00D07330">
              <w:t>00</w:t>
            </w:r>
          </w:p>
        </w:tc>
        <w:tc>
          <w:tcPr>
            <w:tcW w:w="2214" w:type="dxa"/>
            <w:vAlign w:val="center"/>
          </w:tcPr>
          <w:p w14:paraId="2A16669A" w14:textId="77777777" w:rsidR="00F74350" w:rsidRPr="00D07330" w:rsidRDefault="00F74350" w:rsidP="00ED5D8E">
            <w:pPr>
              <w:overflowPunct w:val="0"/>
              <w:autoSpaceDE w:val="0"/>
              <w:autoSpaceDN w:val="0"/>
              <w:adjustRightInd w:val="0"/>
              <w:jc w:val="center"/>
              <w:textAlignment w:val="baseline"/>
            </w:pPr>
            <w:r w:rsidRPr="00D07330">
              <w:t>0-10</w:t>
            </w:r>
          </w:p>
        </w:tc>
      </w:tr>
    </w:tbl>
    <w:p w14:paraId="044E4347" w14:textId="77777777" w:rsidR="00F74350" w:rsidRDefault="00F74350" w:rsidP="0071248E">
      <w:pPr>
        <w:pStyle w:val="PR1"/>
      </w:pPr>
      <w:bookmarkStart w:id="4" w:name="_Hlk126004104"/>
      <w:bookmarkEnd w:id="3"/>
      <w:r>
        <w:t>Item B-12.</w:t>
      </w:r>
    </w:p>
    <w:p w14:paraId="4977AA99" w14:textId="74E5F95E" w:rsidR="00F74350" w:rsidRDefault="00F74350" w:rsidP="00DA4692">
      <w:pPr>
        <w:pStyle w:val="PR2"/>
        <w:contextualSpacing w:val="0"/>
      </w:pPr>
      <w:r>
        <w:t>Description: Equal b</w:t>
      </w:r>
      <w:r w:rsidRPr="0071248E">
        <w:t xml:space="preserve">lend of No.1 and No. 2 Crushed </w:t>
      </w:r>
      <w:r>
        <w:t>Aggregate</w:t>
      </w:r>
      <w:r w:rsidRPr="0071248E">
        <w:t xml:space="preserve"> that complies with material requirements of </w:t>
      </w:r>
      <w:r>
        <w:t>NYS</w:t>
      </w:r>
      <w:r w:rsidRPr="0071248E">
        <w:t>DOT Article 703-02, crushed stone only.</w:t>
      </w:r>
    </w:p>
    <w:p w14:paraId="0ED88514" w14:textId="77777777" w:rsidR="00F74350" w:rsidRDefault="00F74350" w:rsidP="00DA4692">
      <w:pPr>
        <w:pStyle w:val="PR2"/>
        <w:spacing w:before="0" w:after="240"/>
        <w:contextualSpacing w:val="0"/>
      </w:pPr>
      <w:r w:rsidRPr="00D07330">
        <w:t>Comply with the gradation requirements specified below</w:t>
      </w:r>
      <w:r>
        <w:t>:</w:t>
      </w:r>
    </w:p>
    <w:tbl>
      <w:tblPr>
        <w:tblW w:w="0" w:type="auto"/>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214"/>
      </w:tblGrid>
      <w:tr w:rsidR="00F74350" w:rsidRPr="00D07330" w14:paraId="607E1EF3" w14:textId="77777777" w:rsidTr="00ED5D8E">
        <w:trPr>
          <w:tblHeader/>
        </w:trPr>
        <w:tc>
          <w:tcPr>
            <w:tcW w:w="2214" w:type="dxa"/>
            <w:vAlign w:val="center"/>
          </w:tcPr>
          <w:p w14:paraId="23760D69" w14:textId="77777777" w:rsidR="00F74350" w:rsidRPr="00D07330" w:rsidRDefault="00F74350" w:rsidP="00ED5D8E">
            <w:pPr>
              <w:overflowPunct w:val="0"/>
              <w:autoSpaceDE w:val="0"/>
              <w:autoSpaceDN w:val="0"/>
              <w:adjustRightInd w:val="0"/>
              <w:jc w:val="center"/>
              <w:textAlignment w:val="baseline"/>
              <w:rPr>
                <w:b/>
              </w:rPr>
            </w:pPr>
            <w:r w:rsidRPr="00D07330">
              <w:rPr>
                <w:b/>
              </w:rPr>
              <w:t>Sieve Size</w:t>
            </w:r>
          </w:p>
        </w:tc>
        <w:tc>
          <w:tcPr>
            <w:tcW w:w="2214" w:type="dxa"/>
            <w:vAlign w:val="center"/>
          </w:tcPr>
          <w:p w14:paraId="02ED3104" w14:textId="77777777" w:rsidR="00F74350" w:rsidRPr="00D07330" w:rsidRDefault="00F74350" w:rsidP="00ED5D8E">
            <w:pPr>
              <w:overflowPunct w:val="0"/>
              <w:autoSpaceDE w:val="0"/>
              <w:autoSpaceDN w:val="0"/>
              <w:adjustRightInd w:val="0"/>
              <w:jc w:val="center"/>
              <w:textAlignment w:val="baseline"/>
            </w:pPr>
            <w:r w:rsidRPr="00D07330">
              <w:rPr>
                <w:b/>
              </w:rPr>
              <w:t>Percent Passing</w:t>
            </w:r>
          </w:p>
        </w:tc>
      </w:tr>
      <w:tr w:rsidR="00F74350" w:rsidRPr="00D07330" w14:paraId="247B2322" w14:textId="77777777" w:rsidTr="00ED5D8E">
        <w:tc>
          <w:tcPr>
            <w:tcW w:w="2214" w:type="dxa"/>
            <w:vAlign w:val="center"/>
          </w:tcPr>
          <w:p w14:paraId="61762878" w14:textId="77777777" w:rsidR="00F74350" w:rsidRPr="00D07330" w:rsidRDefault="00F74350" w:rsidP="00ED5D8E">
            <w:pPr>
              <w:overflowPunct w:val="0"/>
              <w:autoSpaceDE w:val="0"/>
              <w:autoSpaceDN w:val="0"/>
              <w:adjustRightInd w:val="0"/>
              <w:jc w:val="center"/>
              <w:textAlignment w:val="baseline"/>
            </w:pPr>
            <w:r>
              <w:t>1 1/2 inch</w:t>
            </w:r>
          </w:p>
        </w:tc>
        <w:tc>
          <w:tcPr>
            <w:tcW w:w="2214" w:type="dxa"/>
            <w:vAlign w:val="center"/>
          </w:tcPr>
          <w:p w14:paraId="0CFB6C6C" w14:textId="77777777" w:rsidR="00F74350" w:rsidRDefault="00F74350" w:rsidP="00ED5D8E">
            <w:pPr>
              <w:overflowPunct w:val="0"/>
              <w:autoSpaceDE w:val="0"/>
              <w:autoSpaceDN w:val="0"/>
              <w:adjustRightInd w:val="0"/>
              <w:jc w:val="center"/>
              <w:textAlignment w:val="baseline"/>
            </w:pPr>
            <w:r>
              <w:t>100</w:t>
            </w:r>
          </w:p>
        </w:tc>
      </w:tr>
      <w:tr w:rsidR="00F74350" w:rsidRPr="00D07330" w14:paraId="572B811E" w14:textId="77777777" w:rsidTr="00ED5D8E">
        <w:tc>
          <w:tcPr>
            <w:tcW w:w="2214" w:type="dxa"/>
            <w:vAlign w:val="center"/>
          </w:tcPr>
          <w:p w14:paraId="22FF9629" w14:textId="77777777" w:rsidR="00F74350" w:rsidRPr="00D07330" w:rsidRDefault="00F74350" w:rsidP="00ED5D8E">
            <w:pPr>
              <w:overflowPunct w:val="0"/>
              <w:autoSpaceDE w:val="0"/>
              <w:autoSpaceDN w:val="0"/>
              <w:adjustRightInd w:val="0"/>
              <w:jc w:val="center"/>
              <w:textAlignment w:val="baseline"/>
            </w:pPr>
            <w:r w:rsidRPr="00D07330">
              <w:t>1 inch</w:t>
            </w:r>
          </w:p>
        </w:tc>
        <w:tc>
          <w:tcPr>
            <w:tcW w:w="2214" w:type="dxa"/>
            <w:vAlign w:val="center"/>
          </w:tcPr>
          <w:p w14:paraId="42306F52" w14:textId="77777777" w:rsidR="00F74350" w:rsidRPr="00D07330" w:rsidRDefault="00F74350" w:rsidP="00ED5D8E">
            <w:pPr>
              <w:overflowPunct w:val="0"/>
              <w:autoSpaceDE w:val="0"/>
              <w:autoSpaceDN w:val="0"/>
              <w:adjustRightInd w:val="0"/>
              <w:jc w:val="center"/>
              <w:textAlignment w:val="baseline"/>
            </w:pPr>
            <w:r>
              <w:t>95-100</w:t>
            </w:r>
          </w:p>
        </w:tc>
      </w:tr>
      <w:tr w:rsidR="00F74350" w:rsidRPr="00D07330" w14:paraId="1F233122" w14:textId="77777777" w:rsidTr="00ED5D8E">
        <w:tc>
          <w:tcPr>
            <w:tcW w:w="2214" w:type="dxa"/>
            <w:vAlign w:val="center"/>
          </w:tcPr>
          <w:p w14:paraId="3B053E0E" w14:textId="77777777" w:rsidR="00F74350" w:rsidRPr="00D07330" w:rsidRDefault="00F74350" w:rsidP="00ED5D8E">
            <w:pPr>
              <w:overflowPunct w:val="0"/>
              <w:autoSpaceDE w:val="0"/>
              <w:autoSpaceDN w:val="0"/>
              <w:adjustRightInd w:val="0"/>
              <w:jc w:val="center"/>
              <w:textAlignment w:val="baseline"/>
            </w:pPr>
            <w:r>
              <w:t>1/2 inch</w:t>
            </w:r>
          </w:p>
        </w:tc>
        <w:tc>
          <w:tcPr>
            <w:tcW w:w="2214" w:type="dxa"/>
            <w:vAlign w:val="center"/>
          </w:tcPr>
          <w:p w14:paraId="532A76FA" w14:textId="77777777" w:rsidR="00F74350" w:rsidRPr="00D07330" w:rsidRDefault="00F74350" w:rsidP="00ED5D8E">
            <w:pPr>
              <w:overflowPunct w:val="0"/>
              <w:autoSpaceDE w:val="0"/>
              <w:autoSpaceDN w:val="0"/>
              <w:adjustRightInd w:val="0"/>
              <w:jc w:val="center"/>
              <w:textAlignment w:val="baseline"/>
            </w:pPr>
            <w:r>
              <w:t>45-60</w:t>
            </w:r>
          </w:p>
        </w:tc>
      </w:tr>
      <w:tr w:rsidR="00F74350" w:rsidRPr="00D07330" w14:paraId="3C728398" w14:textId="77777777" w:rsidTr="00ED5D8E">
        <w:tc>
          <w:tcPr>
            <w:tcW w:w="2214" w:type="dxa"/>
            <w:vAlign w:val="center"/>
          </w:tcPr>
          <w:p w14:paraId="2420B6CD" w14:textId="77777777" w:rsidR="00F74350" w:rsidRPr="00D07330" w:rsidRDefault="00F74350" w:rsidP="00ED5D8E">
            <w:pPr>
              <w:overflowPunct w:val="0"/>
              <w:autoSpaceDE w:val="0"/>
              <w:autoSpaceDN w:val="0"/>
              <w:adjustRightInd w:val="0"/>
              <w:jc w:val="center"/>
              <w:textAlignment w:val="baseline"/>
            </w:pPr>
            <w:r>
              <w:t>1/4 inch</w:t>
            </w:r>
          </w:p>
        </w:tc>
        <w:tc>
          <w:tcPr>
            <w:tcW w:w="2214" w:type="dxa"/>
            <w:vAlign w:val="center"/>
          </w:tcPr>
          <w:p w14:paraId="16119AF6" w14:textId="77777777" w:rsidR="00F74350" w:rsidRPr="00D07330" w:rsidRDefault="00F74350" w:rsidP="00ED5D8E">
            <w:pPr>
              <w:overflowPunct w:val="0"/>
              <w:autoSpaceDE w:val="0"/>
              <w:autoSpaceDN w:val="0"/>
              <w:adjustRightInd w:val="0"/>
              <w:jc w:val="center"/>
              <w:textAlignment w:val="baseline"/>
            </w:pPr>
            <w:r w:rsidRPr="00D07330">
              <w:t>0-1</w:t>
            </w:r>
            <w:r>
              <w:t>5</w:t>
            </w:r>
          </w:p>
        </w:tc>
      </w:tr>
    </w:tbl>
    <w:bookmarkEnd w:id="4"/>
    <w:p w14:paraId="1EEAF2C3" w14:textId="77777777" w:rsidR="00F74350" w:rsidRDefault="00F74350" w:rsidP="00BF2717">
      <w:pPr>
        <w:pStyle w:val="PR1"/>
      </w:pPr>
      <w:r w:rsidRPr="00280E9A">
        <w:rPr>
          <w:vanish/>
        </w:rPr>
        <w:t>Blend of No.1 and No. 2 Crushed Stone that complies with material requirements of DOT Article 703-02, crushed stone only.</w:t>
      </w:r>
      <w:bookmarkStart w:id="5" w:name="_Hlk126004302"/>
      <w:r>
        <w:rPr>
          <w:vanish/>
        </w:rPr>
        <w:t xml:space="preserve"> </w:t>
      </w:r>
      <w:r>
        <w:t>No. 1 Coarse Aggregate.</w:t>
      </w:r>
    </w:p>
    <w:p w14:paraId="366FF6FC" w14:textId="459C3D1A" w:rsidR="00F74350" w:rsidRDefault="00F74350" w:rsidP="00DA4692">
      <w:pPr>
        <w:pStyle w:val="PR2"/>
        <w:contextualSpacing w:val="0"/>
      </w:pPr>
      <w:r>
        <w:t>Description: Crushed stone that complies with the material requirements of NYSDOT Article 703-02.</w:t>
      </w:r>
    </w:p>
    <w:p w14:paraId="0062FAB7" w14:textId="77777777" w:rsidR="00F74350" w:rsidRDefault="00F74350" w:rsidP="00DA4692">
      <w:pPr>
        <w:pStyle w:val="PR2"/>
        <w:spacing w:before="0" w:after="240"/>
        <w:contextualSpacing w:val="0"/>
      </w:pPr>
      <w:r w:rsidRPr="00D07330">
        <w:t>Comply with the gradation requirements specified below</w:t>
      </w:r>
      <w:r>
        <w:t>:</w:t>
      </w:r>
    </w:p>
    <w:tbl>
      <w:tblPr>
        <w:tblW w:w="0" w:type="auto"/>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214"/>
      </w:tblGrid>
      <w:tr w:rsidR="00F74350" w:rsidRPr="00D07330" w14:paraId="656BB918" w14:textId="77777777" w:rsidTr="00ED5D8E">
        <w:trPr>
          <w:tblHeader/>
        </w:trPr>
        <w:tc>
          <w:tcPr>
            <w:tcW w:w="2214" w:type="dxa"/>
            <w:vAlign w:val="center"/>
          </w:tcPr>
          <w:p w14:paraId="7038F7CC" w14:textId="77777777" w:rsidR="00F74350" w:rsidRPr="00D07330" w:rsidRDefault="00F74350" w:rsidP="00ED5D8E">
            <w:pPr>
              <w:overflowPunct w:val="0"/>
              <w:autoSpaceDE w:val="0"/>
              <w:autoSpaceDN w:val="0"/>
              <w:adjustRightInd w:val="0"/>
              <w:jc w:val="center"/>
              <w:textAlignment w:val="baseline"/>
              <w:rPr>
                <w:b/>
              </w:rPr>
            </w:pPr>
            <w:r w:rsidRPr="00D07330">
              <w:rPr>
                <w:b/>
              </w:rPr>
              <w:t>Sieve Size</w:t>
            </w:r>
          </w:p>
        </w:tc>
        <w:tc>
          <w:tcPr>
            <w:tcW w:w="2214" w:type="dxa"/>
            <w:vAlign w:val="center"/>
          </w:tcPr>
          <w:p w14:paraId="54874B97" w14:textId="77777777" w:rsidR="00F74350" w:rsidRPr="00D07330" w:rsidRDefault="00F74350" w:rsidP="00ED5D8E">
            <w:pPr>
              <w:overflowPunct w:val="0"/>
              <w:autoSpaceDE w:val="0"/>
              <w:autoSpaceDN w:val="0"/>
              <w:adjustRightInd w:val="0"/>
              <w:jc w:val="center"/>
              <w:textAlignment w:val="baseline"/>
            </w:pPr>
            <w:r w:rsidRPr="00D07330">
              <w:rPr>
                <w:b/>
              </w:rPr>
              <w:t>Percent Passing</w:t>
            </w:r>
          </w:p>
        </w:tc>
      </w:tr>
      <w:tr w:rsidR="00F74350" w:rsidRPr="00D07330" w14:paraId="45AE6A88" w14:textId="77777777" w:rsidTr="00ED5D8E">
        <w:tc>
          <w:tcPr>
            <w:tcW w:w="2214" w:type="dxa"/>
            <w:vAlign w:val="center"/>
          </w:tcPr>
          <w:p w14:paraId="70A8B45E" w14:textId="77777777" w:rsidR="00F74350" w:rsidRPr="00D07330" w:rsidRDefault="00F74350" w:rsidP="00ED5D8E">
            <w:pPr>
              <w:overflowPunct w:val="0"/>
              <w:autoSpaceDE w:val="0"/>
              <w:autoSpaceDN w:val="0"/>
              <w:adjustRightInd w:val="0"/>
              <w:jc w:val="center"/>
              <w:textAlignment w:val="baseline"/>
            </w:pPr>
            <w:r w:rsidRPr="00D07330">
              <w:t>1 inch</w:t>
            </w:r>
          </w:p>
        </w:tc>
        <w:tc>
          <w:tcPr>
            <w:tcW w:w="2214" w:type="dxa"/>
            <w:vAlign w:val="center"/>
          </w:tcPr>
          <w:p w14:paraId="131C7482" w14:textId="77777777" w:rsidR="00F74350" w:rsidRPr="00D07330" w:rsidRDefault="00F74350" w:rsidP="00ED5D8E">
            <w:pPr>
              <w:overflowPunct w:val="0"/>
              <w:autoSpaceDE w:val="0"/>
              <w:autoSpaceDN w:val="0"/>
              <w:adjustRightInd w:val="0"/>
              <w:jc w:val="center"/>
              <w:textAlignment w:val="baseline"/>
            </w:pPr>
            <w:r>
              <w:t>100</w:t>
            </w:r>
          </w:p>
        </w:tc>
      </w:tr>
      <w:tr w:rsidR="00F74350" w:rsidRPr="00D07330" w14:paraId="16591999" w14:textId="77777777" w:rsidTr="00ED5D8E">
        <w:tc>
          <w:tcPr>
            <w:tcW w:w="2214" w:type="dxa"/>
            <w:vAlign w:val="center"/>
          </w:tcPr>
          <w:p w14:paraId="4F39ABF0" w14:textId="77777777" w:rsidR="00F74350" w:rsidRPr="00D07330" w:rsidRDefault="00F74350" w:rsidP="00ED5D8E">
            <w:pPr>
              <w:overflowPunct w:val="0"/>
              <w:autoSpaceDE w:val="0"/>
              <w:autoSpaceDN w:val="0"/>
              <w:adjustRightInd w:val="0"/>
              <w:jc w:val="center"/>
              <w:textAlignment w:val="baseline"/>
            </w:pPr>
            <w:r>
              <w:t>1/2 inch</w:t>
            </w:r>
          </w:p>
        </w:tc>
        <w:tc>
          <w:tcPr>
            <w:tcW w:w="2214" w:type="dxa"/>
            <w:vAlign w:val="center"/>
          </w:tcPr>
          <w:p w14:paraId="7285E96E" w14:textId="77777777" w:rsidR="00F74350" w:rsidRPr="00D07330" w:rsidRDefault="00F74350" w:rsidP="00ED5D8E">
            <w:pPr>
              <w:overflowPunct w:val="0"/>
              <w:autoSpaceDE w:val="0"/>
              <w:autoSpaceDN w:val="0"/>
              <w:adjustRightInd w:val="0"/>
              <w:jc w:val="center"/>
              <w:textAlignment w:val="baseline"/>
            </w:pPr>
            <w:r>
              <w:t>90-100</w:t>
            </w:r>
          </w:p>
        </w:tc>
      </w:tr>
      <w:tr w:rsidR="00F74350" w:rsidRPr="00D07330" w14:paraId="44E2E0DF" w14:textId="77777777" w:rsidTr="00ED5D8E">
        <w:tc>
          <w:tcPr>
            <w:tcW w:w="2214" w:type="dxa"/>
            <w:vAlign w:val="center"/>
          </w:tcPr>
          <w:p w14:paraId="7337C723" w14:textId="77777777" w:rsidR="00F74350" w:rsidRPr="00D07330" w:rsidRDefault="00F74350" w:rsidP="00ED5D8E">
            <w:pPr>
              <w:overflowPunct w:val="0"/>
              <w:autoSpaceDE w:val="0"/>
              <w:autoSpaceDN w:val="0"/>
              <w:adjustRightInd w:val="0"/>
              <w:jc w:val="center"/>
              <w:textAlignment w:val="baseline"/>
            </w:pPr>
            <w:r>
              <w:t>1/4 inch</w:t>
            </w:r>
          </w:p>
        </w:tc>
        <w:tc>
          <w:tcPr>
            <w:tcW w:w="2214" w:type="dxa"/>
            <w:vAlign w:val="center"/>
          </w:tcPr>
          <w:p w14:paraId="3DDF91A3" w14:textId="77777777" w:rsidR="00F74350" w:rsidRPr="00D07330" w:rsidRDefault="00F74350" w:rsidP="00ED5D8E">
            <w:pPr>
              <w:overflowPunct w:val="0"/>
              <w:autoSpaceDE w:val="0"/>
              <w:autoSpaceDN w:val="0"/>
              <w:adjustRightInd w:val="0"/>
              <w:jc w:val="center"/>
              <w:textAlignment w:val="baseline"/>
            </w:pPr>
            <w:r w:rsidRPr="00D07330">
              <w:t>0-1</w:t>
            </w:r>
            <w:r>
              <w:t>5</w:t>
            </w:r>
          </w:p>
        </w:tc>
      </w:tr>
    </w:tbl>
    <w:bookmarkEnd w:id="5"/>
    <w:p w14:paraId="2ACE218A" w14:textId="77777777" w:rsidR="00F74350" w:rsidRDefault="00F74350" w:rsidP="0071248E">
      <w:pPr>
        <w:pStyle w:val="PR1"/>
      </w:pPr>
      <w:r>
        <w:t>No. 2 Coarse Aggregate.</w:t>
      </w:r>
    </w:p>
    <w:p w14:paraId="40E96474" w14:textId="001B4612" w:rsidR="00F74350" w:rsidRDefault="00F74350" w:rsidP="00DA4692">
      <w:pPr>
        <w:pStyle w:val="PR2"/>
        <w:contextualSpacing w:val="0"/>
      </w:pPr>
      <w:r>
        <w:t>Description: Crushed stone that complies with the material requirements of NYSDOT Article 703-02.</w:t>
      </w:r>
    </w:p>
    <w:p w14:paraId="54BF8E41" w14:textId="77777777" w:rsidR="00F74350" w:rsidRDefault="00F74350" w:rsidP="00DA4692">
      <w:pPr>
        <w:pStyle w:val="PR2"/>
        <w:spacing w:before="0" w:after="240"/>
        <w:contextualSpacing w:val="0"/>
      </w:pPr>
      <w:r w:rsidRPr="00D07330">
        <w:t>Comply with the gradation requirements specified below</w:t>
      </w:r>
      <w:r>
        <w:t>:</w:t>
      </w:r>
    </w:p>
    <w:tbl>
      <w:tblPr>
        <w:tblW w:w="0" w:type="auto"/>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214"/>
      </w:tblGrid>
      <w:tr w:rsidR="00F74350" w:rsidRPr="00D07330" w14:paraId="4A6CEED7" w14:textId="77777777" w:rsidTr="00ED5D8E">
        <w:trPr>
          <w:tblHeader/>
        </w:trPr>
        <w:tc>
          <w:tcPr>
            <w:tcW w:w="2214" w:type="dxa"/>
            <w:vAlign w:val="center"/>
          </w:tcPr>
          <w:p w14:paraId="53C144D4" w14:textId="77777777" w:rsidR="00F74350" w:rsidRPr="00D07330" w:rsidRDefault="00F74350" w:rsidP="00ED5D8E">
            <w:pPr>
              <w:overflowPunct w:val="0"/>
              <w:autoSpaceDE w:val="0"/>
              <w:autoSpaceDN w:val="0"/>
              <w:adjustRightInd w:val="0"/>
              <w:jc w:val="center"/>
              <w:textAlignment w:val="baseline"/>
              <w:rPr>
                <w:b/>
              </w:rPr>
            </w:pPr>
            <w:r w:rsidRPr="00D07330">
              <w:rPr>
                <w:b/>
              </w:rPr>
              <w:t>Sieve Size</w:t>
            </w:r>
          </w:p>
        </w:tc>
        <w:tc>
          <w:tcPr>
            <w:tcW w:w="2214" w:type="dxa"/>
            <w:vAlign w:val="center"/>
          </w:tcPr>
          <w:p w14:paraId="387A6477" w14:textId="77777777" w:rsidR="00F74350" w:rsidRPr="00D07330" w:rsidRDefault="00F74350" w:rsidP="00ED5D8E">
            <w:pPr>
              <w:overflowPunct w:val="0"/>
              <w:autoSpaceDE w:val="0"/>
              <w:autoSpaceDN w:val="0"/>
              <w:adjustRightInd w:val="0"/>
              <w:jc w:val="center"/>
              <w:textAlignment w:val="baseline"/>
            </w:pPr>
            <w:r w:rsidRPr="00D07330">
              <w:rPr>
                <w:b/>
              </w:rPr>
              <w:t>Percent Passing</w:t>
            </w:r>
          </w:p>
        </w:tc>
      </w:tr>
      <w:tr w:rsidR="00F74350" w:rsidRPr="00D07330" w14:paraId="5A0DC434" w14:textId="77777777" w:rsidTr="00ED5D8E">
        <w:tc>
          <w:tcPr>
            <w:tcW w:w="2214" w:type="dxa"/>
            <w:vAlign w:val="center"/>
          </w:tcPr>
          <w:p w14:paraId="50137E21" w14:textId="77777777" w:rsidR="00F74350" w:rsidRPr="00D07330" w:rsidRDefault="00F74350" w:rsidP="00ED5D8E">
            <w:pPr>
              <w:overflowPunct w:val="0"/>
              <w:autoSpaceDE w:val="0"/>
              <w:autoSpaceDN w:val="0"/>
              <w:adjustRightInd w:val="0"/>
              <w:jc w:val="center"/>
              <w:textAlignment w:val="baseline"/>
            </w:pPr>
            <w:r w:rsidRPr="00D07330">
              <w:t>1</w:t>
            </w:r>
            <w:r>
              <w:t xml:space="preserve"> 1/2</w:t>
            </w:r>
            <w:r w:rsidRPr="00D07330">
              <w:t xml:space="preserve"> inch</w:t>
            </w:r>
          </w:p>
        </w:tc>
        <w:tc>
          <w:tcPr>
            <w:tcW w:w="2214" w:type="dxa"/>
            <w:vAlign w:val="center"/>
          </w:tcPr>
          <w:p w14:paraId="16DA9188" w14:textId="77777777" w:rsidR="00F74350" w:rsidRPr="00D07330" w:rsidRDefault="00F74350" w:rsidP="00ED5D8E">
            <w:pPr>
              <w:overflowPunct w:val="0"/>
              <w:autoSpaceDE w:val="0"/>
              <w:autoSpaceDN w:val="0"/>
              <w:adjustRightInd w:val="0"/>
              <w:jc w:val="center"/>
              <w:textAlignment w:val="baseline"/>
            </w:pPr>
            <w:r>
              <w:t>100</w:t>
            </w:r>
          </w:p>
        </w:tc>
      </w:tr>
      <w:tr w:rsidR="00F74350" w:rsidRPr="00D07330" w14:paraId="236E4B4D" w14:textId="77777777" w:rsidTr="00ED5D8E">
        <w:tc>
          <w:tcPr>
            <w:tcW w:w="2214" w:type="dxa"/>
            <w:vAlign w:val="center"/>
          </w:tcPr>
          <w:p w14:paraId="5D2CE8C3" w14:textId="77777777" w:rsidR="00F74350" w:rsidRPr="00D07330" w:rsidRDefault="00F74350" w:rsidP="00ED5D8E">
            <w:pPr>
              <w:overflowPunct w:val="0"/>
              <w:autoSpaceDE w:val="0"/>
              <w:autoSpaceDN w:val="0"/>
              <w:adjustRightInd w:val="0"/>
              <w:jc w:val="center"/>
              <w:textAlignment w:val="baseline"/>
            </w:pPr>
            <w:r>
              <w:t>1 inch</w:t>
            </w:r>
          </w:p>
        </w:tc>
        <w:tc>
          <w:tcPr>
            <w:tcW w:w="2214" w:type="dxa"/>
            <w:vAlign w:val="center"/>
          </w:tcPr>
          <w:p w14:paraId="1EEA73EF" w14:textId="77777777" w:rsidR="00F74350" w:rsidRPr="00D07330" w:rsidRDefault="00F74350" w:rsidP="00ED5D8E">
            <w:pPr>
              <w:overflowPunct w:val="0"/>
              <w:autoSpaceDE w:val="0"/>
              <w:autoSpaceDN w:val="0"/>
              <w:adjustRightInd w:val="0"/>
              <w:jc w:val="center"/>
              <w:textAlignment w:val="baseline"/>
            </w:pPr>
            <w:r>
              <w:t>90-100</w:t>
            </w:r>
          </w:p>
        </w:tc>
      </w:tr>
      <w:tr w:rsidR="00F74350" w:rsidRPr="00D07330" w14:paraId="5E9FDC1A" w14:textId="77777777" w:rsidTr="00ED5D8E">
        <w:tc>
          <w:tcPr>
            <w:tcW w:w="2214" w:type="dxa"/>
            <w:vAlign w:val="center"/>
          </w:tcPr>
          <w:p w14:paraId="594B9AA5" w14:textId="77777777" w:rsidR="00F74350" w:rsidRPr="00D07330" w:rsidRDefault="00F74350" w:rsidP="00ED5D8E">
            <w:pPr>
              <w:overflowPunct w:val="0"/>
              <w:autoSpaceDE w:val="0"/>
              <w:autoSpaceDN w:val="0"/>
              <w:adjustRightInd w:val="0"/>
              <w:jc w:val="center"/>
              <w:textAlignment w:val="baseline"/>
            </w:pPr>
            <w:r>
              <w:t>1/2 inch</w:t>
            </w:r>
          </w:p>
        </w:tc>
        <w:tc>
          <w:tcPr>
            <w:tcW w:w="2214" w:type="dxa"/>
            <w:vAlign w:val="center"/>
          </w:tcPr>
          <w:p w14:paraId="44788555" w14:textId="77777777" w:rsidR="00F74350" w:rsidRPr="00D07330" w:rsidRDefault="00F74350" w:rsidP="00ED5D8E">
            <w:pPr>
              <w:overflowPunct w:val="0"/>
              <w:autoSpaceDE w:val="0"/>
              <w:autoSpaceDN w:val="0"/>
              <w:adjustRightInd w:val="0"/>
              <w:jc w:val="center"/>
              <w:textAlignment w:val="baseline"/>
            </w:pPr>
            <w:r w:rsidRPr="00D07330">
              <w:t>0-1</w:t>
            </w:r>
            <w:r>
              <w:t>5</w:t>
            </w:r>
          </w:p>
        </w:tc>
      </w:tr>
    </w:tbl>
    <w:p w14:paraId="52BDD146" w14:textId="77777777" w:rsidR="00F74350" w:rsidRDefault="00F74350" w:rsidP="00DA4692">
      <w:pPr>
        <w:pStyle w:val="SpecifierNote"/>
      </w:pPr>
      <w:r w:rsidRPr="006068FB">
        <w:t>For paragraph below</w:t>
      </w:r>
      <w:r>
        <w:t xml:space="preserve"> </w:t>
      </w:r>
      <w:r w:rsidRPr="006068FB">
        <w:t>choose either fine, light, medium, or heavy.  Also specify landscaping characteristics (color, shape, etc.), if required.</w:t>
      </w:r>
    </w:p>
    <w:p w14:paraId="5712446B" w14:textId="77777777" w:rsidR="00F74350" w:rsidRDefault="00F74350" w:rsidP="0071248E">
      <w:pPr>
        <w:pStyle w:val="PR1"/>
      </w:pPr>
      <w:r>
        <w:t>Rip Rap.</w:t>
      </w:r>
    </w:p>
    <w:p w14:paraId="72D79C7A" w14:textId="77777777" w:rsidR="00F74350" w:rsidRDefault="00F74350" w:rsidP="00DA4692">
      <w:pPr>
        <w:pStyle w:val="PR2"/>
        <w:contextualSpacing w:val="0"/>
      </w:pPr>
      <w:r>
        <w:t>Description: [</w:t>
      </w:r>
      <w:r w:rsidRPr="006068FB">
        <w:rPr>
          <w:b/>
        </w:rPr>
        <w:t>Fine</w:t>
      </w:r>
      <w:r>
        <w:t>] [</w:t>
      </w:r>
      <w:r w:rsidRPr="006068FB">
        <w:rPr>
          <w:b/>
        </w:rPr>
        <w:t>Light</w:t>
      </w:r>
      <w:r>
        <w:t>] [</w:t>
      </w:r>
      <w:r w:rsidRPr="006068FB">
        <w:rPr>
          <w:b/>
        </w:rPr>
        <w:t>Medium</w:t>
      </w:r>
      <w:r>
        <w:t>] [</w:t>
      </w:r>
      <w:r w:rsidRPr="006068FB">
        <w:rPr>
          <w:b/>
        </w:rPr>
        <w:t>Heavy</w:t>
      </w:r>
      <w:r>
        <w:t>] stone filling that complies with NYSDOT Article 620-2.02 for stone filling.</w:t>
      </w:r>
    </w:p>
    <w:p w14:paraId="549AEBD4" w14:textId="3D5F6AA8" w:rsidR="00F74350" w:rsidRPr="00C4371D" w:rsidRDefault="00F74350" w:rsidP="00DA4692">
      <w:pPr>
        <w:pStyle w:val="PR2"/>
        <w:spacing w:before="0" w:after="240"/>
        <w:contextualSpacing w:val="0"/>
      </w:pPr>
      <w:r w:rsidRPr="00C4371D">
        <w:t xml:space="preserve">End Dumped: Conform to </w:t>
      </w:r>
      <w:r>
        <w:t>NYS</w:t>
      </w:r>
      <w:r w:rsidRPr="00C4371D">
        <w:t>DOT Table 733-21A, Stone Filling Gradation Requirements for stone filling.</w:t>
      </w:r>
    </w:p>
    <w:tbl>
      <w:tblPr>
        <w:tblW w:w="7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610"/>
        <w:gridCol w:w="2790"/>
      </w:tblGrid>
      <w:tr w:rsidR="00F74350" w:rsidRPr="00C4371D" w14:paraId="401A5CA4" w14:textId="77777777" w:rsidTr="002138FB">
        <w:trPr>
          <w:trHeight w:val="188"/>
          <w:tblHeader/>
          <w:jc w:val="center"/>
        </w:trPr>
        <w:tc>
          <w:tcPr>
            <w:tcW w:w="7380" w:type="dxa"/>
            <w:gridSpan w:val="3"/>
            <w:vAlign w:val="center"/>
            <w:hideMark/>
          </w:tcPr>
          <w:p w14:paraId="5656196D" w14:textId="77777777" w:rsidR="00F74350" w:rsidRPr="002138FB" w:rsidRDefault="00F74350" w:rsidP="002138FB">
            <w:pPr>
              <w:overflowPunct w:val="0"/>
              <w:autoSpaceDE w:val="0"/>
              <w:autoSpaceDN w:val="0"/>
              <w:adjustRightInd w:val="0"/>
              <w:jc w:val="center"/>
              <w:rPr>
                <w:b/>
              </w:rPr>
            </w:pPr>
            <w:r w:rsidRPr="00C4371D">
              <w:rPr>
                <w:b/>
              </w:rPr>
              <w:t>Stone Filling Gradation</w:t>
            </w:r>
          </w:p>
        </w:tc>
      </w:tr>
      <w:tr w:rsidR="00F74350" w:rsidRPr="00C4371D" w14:paraId="2A3EFA66" w14:textId="77777777" w:rsidTr="002138FB">
        <w:trPr>
          <w:trHeight w:val="80"/>
          <w:tblHeader/>
          <w:jc w:val="center"/>
        </w:trPr>
        <w:tc>
          <w:tcPr>
            <w:tcW w:w="1980" w:type="dxa"/>
            <w:vAlign w:val="center"/>
            <w:hideMark/>
          </w:tcPr>
          <w:p w14:paraId="4E60C496" w14:textId="77777777" w:rsidR="00F74350" w:rsidRPr="002138FB" w:rsidRDefault="00F74350" w:rsidP="002138FB">
            <w:pPr>
              <w:overflowPunct w:val="0"/>
              <w:autoSpaceDE w:val="0"/>
              <w:autoSpaceDN w:val="0"/>
              <w:adjustRightInd w:val="0"/>
              <w:jc w:val="center"/>
              <w:rPr>
                <w:b/>
              </w:rPr>
            </w:pPr>
            <w:r w:rsidRPr="00C4371D">
              <w:rPr>
                <w:b/>
              </w:rPr>
              <w:t>Stone Filling Item</w:t>
            </w:r>
          </w:p>
        </w:tc>
        <w:tc>
          <w:tcPr>
            <w:tcW w:w="2610" w:type="dxa"/>
            <w:vAlign w:val="center"/>
            <w:hideMark/>
          </w:tcPr>
          <w:p w14:paraId="7162937E" w14:textId="77777777" w:rsidR="00F74350" w:rsidRPr="002138FB" w:rsidRDefault="00F74350" w:rsidP="002138FB">
            <w:pPr>
              <w:overflowPunct w:val="0"/>
              <w:autoSpaceDE w:val="0"/>
              <w:autoSpaceDN w:val="0"/>
              <w:adjustRightInd w:val="0"/>
              <w:jc w:val="center"/>
              <w:rPr>
                <w:b/>
              </w:rPr>
            </w:pPr>
            <w:r w:rsidRPr="00C4371D">
              <w:rPr>
                <w:b/>
              </w:rPr>
              <w:t>Stone Size</w:t>
            </w:r>
          </w:p>
        </w:tc>
        <w:tc>
          <w:tcPr>
            <w:tcW w:w="2790" w:type="dxa"/>
            <w:vAlign w:val="center"/>
            <w:hideMark/>
          </w:tcPr>
          <w:p w14:paraId="6DC14347" w14:textId="77777777" w:rsidR="00F74350" w:rsidRPr="002138FB" w:rsidRDefault="00F74350" w:rsidP="002138FB">
            <w:pPr>
              <w:overflowPunct w:val="0"/>
              <w:autoSpaceDE w:val="0"/>
              <w:autoSpaceDN w:val="0"/>
              <w:adjustRightInd w:val="0"/>
              <w:jc w:val="center"/>
              <w:rPr>
                <w:b/>
              </w:rPr>
            </w:pPr>
            <w:r w:rsidRPr="00C4371D">
              <w:rPr>
                <w:b/>
              </w:rPr>
              <w:t xml:space="preserve">Percent </w:t>
            </w:r>
            <w:r>
              <w:rPr>
                <w:b/>
              </w:rPr>
              <w:t>o</w:t>
            </w:r>
            <w:r w:rsidRPr="00C4371D">
              <w:rPr>
                <w:b/>
              </w:rPr>
              <w:t>f Total</w:t>
            </w:r>
            <w:r>
              <w:rPr>
                <w:b/>
              </w:rPr>
              <w:t xml:space="preserve"> </w:t>
            </w:r>
            <w:r w:rsidRPr="00C4371D">
              <w:rPr>
                <w:b/>
              </w:rPr>
              <w:t>By Weight</w:t>
            </w:r>
          </w:p>
        </w:tc>
      </w:tr>
      <w:tr w:rsidR="00F74350" w:rsidRPr="00C4371D" w14:paraId="0A616723" w14:textId="77777777" w:rsidTr="002138FB">
        <w:trPr>
          <w:trHeight w:val="88"/>
          <w:jc w:val="center"/>
        </w:trPr>
        <w:tc>
          <w:tcPr>
            <w:tcW w:w="1980" w:type="dxa"/>
            <w:vMerge w:val="restart"/>
            <w:vAlign w:val="center"/>
            <w:hideMark/>
          </w:tcPr>
          <w:p w14:paraId="4D18DB6B" w14:textId="77777777" w:rsidR="00F74350" w:rsidRPr="002138FB" w:rsidRDefault="00F74350" w:rsidP="002138FB">
            <w:pPr>
              <w:overflowPunct w:val="0"/>
              <w:autoSpaceDE w:val="0"/>
              <w:autoSpaceDN w:val="0"/>
              <w:adjustRightInd w:val="0"/>
              <w:jc w:val="center"/>
            </w:pPr>
            <w:r w:rsidRPr="002138FB">
              <w:t>Fine</w:t>
            </w:r>
          </w:p>
        </w:tc>
        <w:tc>
          <w:tcPr>
            <w:tcW w:w="2610" w:type="dxa"/>
            <w:vAlign w:val="center"/>
            <w:hideMark/>
          </w:tcPr>
          <w:p w14:paraId="4DA672D5" w14:textId="77777777" w:rsidR="00F74350" w:rsidRPr="002138FB" w:rsidRDefault="00F74350" w:rsidP="002138FB">
            <w:pPr>
              <w:overflowPunct w:val="0"/>
              <w:autoSpaceDE w:val="0"/>
              <w:autoSpaceDN w:val="0"/>
              <w:adjustRightInd w:val="0"/>
              <w:jc w:val="center"/>
            </w:pPr>
            <w:r w:rsidRPr="002138FB">
              <w:t>Smaller than 8 inches</w:t>
            </w:r>
          </w:p>
        </w:tc>
        <w:tc>
          <w:tcPr>
            <w:tcW w:w="2790" w:type="dxa"/>
            <w:vAlign w:val="center"/>
            <w:hideMark/>
          </w:tcPr>
          <w:p w14:paraId="059042DA" w14:textId="77777777" w:rsidR="00F74350" w:rsidRPr="002138FB" w:rsidRDefault="00F74350" w:rsidP="002138FB">
            <w:pPr>
              <w:overflowPunct w:val="0"/>
              <w:autoSpaceDE w:val="0"/>
              <w:autoSpaceDN w:val="0"/>
              <w:adjustRightInd w:val="0"/>
              <w:jc w:val="center"/>
            </w:pPr>
            <w:r w:rsidRPr="002138FB">
              <w:t>90-100</w:t>
            </w:r>
          </w:p>
        </w:tc>
      </w:tr>
      <w:tr w:rsidR="00F74350" w:rsidRPr="00C4371D" w14:paraId="4F3D4556" w14:textId="77777777" w:rsidTr="002138FB">
        <w:trPr>
          <w:trHeight w:val="88"/>
          <w:jc w:val="center"/>
        </w:trPr>
        <w:tc>
          <w:tcPr>
            <w:tcW w:w="1980" w:type="dxa"/>
            <w:vMerge/>
            <w:vAlign w:val="center"/>
            <w:hideMark/>
          </w:tcPr>
          <w:p w14:paraId="55BE5732" w14:textId="77777777" w:rsidR="00F74350" w:rsidRPr="002138FB" w:rsidRDefault="00F74350" w:rsidP="00F74350"/>
        </w:tc>
        <w:tc>
          <w:tcPr>
            <w:tcW w:w="2610" w:type="dxa"/>
            <w:vAlign w:val="center"/>
            <w:hideMark/>
          </w:tcPr>
          <w:p w14:paraId="0223FCD3" w14:textId="77777777" w:rsidR="00F74350" w:rsidRPr="002138FB" w:rsidRDefault="00F74350" w:rsidP="00F74350">
            <w:pPr>
              <w:overflowPunct w:val="0"/>
              <w:autoSpaceDE w:val="0"/>
              <w:autoSpaceDN w:val="0"/>
              <w:adjustRightInd w:val="0"/>
              <w:jc w:val="center"/>
            </w:pPr>
            <w:r w:rsidRPr="002138FB">
              <w:t>Larger than 3 inches</w:t>
            </w:r>
          </w:p>
        </w:tc>
        <w:tc>
          <w:tcPr>
            <w:tcW w:w="2790" w:type="dxa"/>
            <w:vAlign w:val="center"/>
            <w:hideMark/>
          </w:tcPr>
          <w:p w14:paraId="39A6CE18" w14:textId="77777777" w:rsidR="00F74350" w:rsidRPr="002138FB" w:rsidRDefault="00F74350" w:rsidP="00F74350">
            <w:pPr>
              <w:overflowPunct w:val="0"/>
              <w:autoSpaceDE w:val="0"/>
              <w:autoSpaceDN w:val="0"/>
              <w:adjustRightInd w:val="0"/>
              <w:jc w:val="center"/>
            </w:pPr>
            <w:r w:rsidRPr="002138FB">
              <w:t>50-100</w:t>
            </w:r>
          </w:p>
        </w:tc>
      </w:tr>
      <w:tr w:rsidR="00F74350" w:rsidRPr="00C4371D" w14:paraId="1270F5B3" w14:textId="77777777" w:rsidTr="002138FB">
        <w:trPr>
          <w:trHeight w:val="88"/>
          <w:jc w:val="center"/>
        </w:trPr>
        <w:tc>
          <w:tcPr>
            <w:tcW w:w="1980" w:type="dxa"/>
            <w:vMerge/>
            <w:vAlign w:val="center"/>
            <w:hideMark/>
          </w:tcPr>
          <w:p w14:paraId="7C99E42F" w14:textId="77777777" w:rsidR="00F74350" w:rsidRPr="00F74350" w:rsidRDefault="00F74350" w:rsidP="00F74350"/>
        </w:tc>
        <w:tc>
          <w:tcPr>
            <w:tcW w:w="2610" w:type="dxa"/>
            <w:vAlign w:val="center"/>
            <w:hideMark/>
          </w:tcPr>
          <w:p w14:paraId="36D3C727" w14:textId="77777777" w:rsidR="00F74350" w:rsidRPr="00F74350" w:rsidRDefault="00F74350" w:rsidP="00F74350">
            <w:pPr>
              <w:overflowPunct w:val="0"/>
              <w:autoSpaceDE w:val="0"/>
              <w:autoSpaceDN w:val="0"/>
              <w:adjustRightInd w:val="0"/>
              <w:jc w:val="center"/>
            </w:pPr>
            <w:r w:rsidRPr="00F74350">
              <w:t>Smaller than No. 10 Sieve</w:t>
            </w:r>
          </w:p>
        </w:tc>
        <w:tc>
          <w:tcPr>
            <w:tcW w:w="2790" w:type="dxa"/>
            <w:vAlign w:val="center"/>
            <w:hideMark/>
          </w:tcPr>
          <w:p w14:paraId="758BE22E" w14:textId="77777777" w:rsidR="00F74350" w:rsidRPr="00F74350" w:rsidRDefault="00F74350" w:rsidP="00F74350">
            <w:pPr>
              <w:overflowPunct w:val="0"/>
              <w:autoSpaceDE w:val="0"/>
              <w:autoSpaceDN w:val="0"/>
              <w:adjustRightInd w:val="0"/>
              <w:jc w:val="center"/>
            </w:pPr>
            <w:r w:rsidRPr="00F74350">
              <w:t>0-10</w:t>
            </w:r>
          </w:p>
        </w:tc>
      </w:tr>
      <w:tr w:rsidR="00F74350" w:rsidRPr="00C4371D" w14:paraId="381D175A" w14:textId="77777777" w:rsidTr="002138FB">
        <w:trPr>
          <w:trHeight w:val="88"/>
          <w:jc w:val="center"/>
        </w:trPr>
        <w:tc>
          <w:tcPr>
            <w:tcW w:w="1980" w:type="dxa"/>
            <w:vMerge w:val="restart"/>
            <w:vAlign w:val="center"/>
            <w:hideMark/>
          </w:tcPr>
          <w:p w14:paraId="128E9897" w14:textId="77777777" w:rsidR="00F74350" w:rsidRPr="002138FB" w:rsidRDefault="00F74350" w:rsidP="002138FB">
            <w:pPr>
              <w:overflowPunct w:val="0"/>
              <w:autoSpaceDE w:val="0"/>
              <w:autoSpaceDN w:val="0"/>
              <w:adjustRightInd w:val="0"/>
              <w:jc w:val="center"/>
            </w:pPr>
            <w:r w:rsidRPr="002138FB">
              <w:t>Light</w:t>
            </w:r>
          </w:p>
        </w:tc>
        <w:tc>
          <w:tcPr>
            <w:tcW w:w="2610" w:type="dxa"/>
            <w:vAlign w:val="center"/>
            <w:hideMark/>
          </w:tcPr>
          <w:p w14:paraId="0380940E" w14:textId="77777777" w:rsidR="00F74350" w:rsidRPr="002138FB" w:rsidRDefault="00F74350" w:rsidP="002138FB">
            <w:pPr>
              <w:overflowPunct w:val="0"/>
              <w:autoSpaceDE w:val="0"/>
              <w:autoSpaceDN w:val="0"/>
              <w:adjustRightInd w:val="0"/>
              <w:jc w:val="center"/>
            </w:pPr>
            <w:r w:rsidRPr="002138FB">
              <w:t>Lighter than 100 lbs</w:t>
            </w:r>
          </w:p>
        </w:tc>
        <w:tc>
          <w:tcPr>
            <w:tcW w:w="2790" w:type="dxa"/>
            <w:vAlign w:val="center"/>
            <w:hideMark/>
          </w:tcPr>
          <w:p w14:paraId="76BC7D3A" w14:textId="77777777" w:rsidR="00F74350" w:rsidRPr="002138FB" w:rsidRDefault="00F74350" w:rsidP="002138FB">
            <w:pPr>
              <w:overflowPunct w:val="0"/>
              <w:autoSpaceDE w:val="0"/>
              <w:autoSpaceDN w:val="0"/>
              <w:adjustRightInd w:val="0"/>
              <w:jc w:val="center"/>
            </w:pPr>
            <w:r w:rsidRPr="002138FB">
              <w:t>90-100</w:t>
            </w:r>
          </w:p>
        </w:tc>
      </w:tr>
      <w:tr w:rsidR="00F74350" w:rsidRPr="00C4371D" w14:paraId="1EE81C75" w14:textId="77777777" w:rsidTr="002138FB">
        <w:trPr>
          <w:trHeight w:val="88"/>
          <w:jc w:val="center"/>
        </w:trPr>
        <w:tc>
          <w:tcPr>
            <w:tcW w:w="1980" w:type="dxa"/>
            <w:vMerge/>
            <w:vAlign w:val="center"/>
            <w:hideMark/>
          </w:tcPr>
          <w:p w14:paraId="4F15A625" w14:textId="77777777" w:rsidR="00F74350" w:rsidRPr="00F74350" w:rsidRDefault="00F74350" w:rsidP="00F74350"/>
        </w:tc>
        <w:tc>
          <w:tcPr>
            <w:tcW w:w="2610" w:type="dxa"/>
            <w:vAlign w:val="center"/>
            <w:hideMark/>
          </w:tcPr>
          <w:p w14:paraId="0C93BA1A" w14:textId="77777777" w:rsidR="00F74350" w:rsidRPr="00F74350" w:rsidRDefault="00F74350" w:rsidP="00F74350">
            <w:pPr>
              <w:overflowPunct w:val="0"/>
              <w:autoSpaceDE w:val="0"/>
              <w:autoSpaceDN w:val="0"/>
              <w:adjustRightInd w:val="0"/>
              <w:jc w:val="center"/>
            </w:pPr>
            <w:r w:rsidRPr="00F74350">
              <w:t>Larger than 6 inches</w:t>
            </w:r>
          </w:p>
        </w:tc>
        <w:tc>
          <w:tcPr>
            <w:tcW w:w="2790" w:type="dxa"/>
            <w:vAlign w:val="center"/>
            <w:hideMark/>
          </w:tcPr>
          <w:p w14:paraId="1A573710" w14:textId="77777777" w:rsidR="00F74350" w:rsidRPr="00F74350" w:rsidRDefault="00F74350" w:rsidP="00F74350">
            <w:pPr>
              <w:overflowPunct w:val="0"/>
              <w:autoSpaceDE w:val="0"/>
              <w:autoSpaceDN w:val="0"/>
              <w:adjustRightInd w:val="0"/>
              <w:jc w:val="center"/>
            </w:pPr>
            <w:r w:rsidRPr="00F74350">
              <w:t>50-100</w:t>
            </w:r>
          </w:p>
        </w:tc>
      </w:tr>
      <w:tr w:rsidR="00F74350" w:rsidRPr="00C4371D" w14:paraId="2CB25869" w14:textId="77777777" w:rsidTr="002138FB">
        <w:trPr>
          <w:trHeight w:val="98"/>
          <w:jc w:val="center"/>
        </w:trPr>
        <w:tc>
          <w:tcPr>
            <w:tcW w:w="1980" w:type="dxa"/>
            <w:vMerge/>
            <w:vAlign w:val="center"/>
            <w:hideMark/>
          </w:tcPr>
          <w:p w14:paraId="49987E75" w14:textId="77777777" w:rsidR="00F74350" w:rsidRPr="00F74350" w:rsidRDefault="00F74350" w:rsidP="00F74350"/>
        </w:tc>
        <w:tc>
          <w:tcPr>
            <w:tcW w:w="2610" w:type="dxa"/>
            <w:vAlign w:val="center"/>
            <w:hideMark/>
          </w:tcPr>
          <w:p w14:paraId="7A38330E" w14:textId="77777777" w:rsidR="00F74350" w:rsidRPr="00F74350" w:rsidRDefault="00F74350" w:rsidP="00F74350">
            <w:pPr>
              <w:overflowPunct w:val="0"/>
              <w:autoSpaceDE w:val="0"/>
              <w:autoSpaceDN w:val="0"/>
              <w:adjustRightInd w:val="0"/>
              <w:jc w:val="center"/>
            </w:pPr>
            <w:r w:rsidRPr="00F74350">
              <w:t>Smaller than ½ inch</w:t>
            </w:r>
          </w:p>
        </w:tc>
        <w:tc>
          <w:tcPr>
            <w:tcW w:w="2790" w:type="dxa"/>
            <w:vAlign w:val="center"/>
          </w:tcPr>
          <w:p w14:paraId="590B9725" w14:textId="77777777" w:rsidR="00F74350" w:rsidRPr="00F74350" w:rsidRDefault="00F74350" w:rsidP="00F74350">
            <w:pPr>
              <w:overflowPunct w:val="0"/>
              <w:autoSpaceDE w:val="0"/>
              <w:autoSpaceDN w:val="0"/>
              <w:adjustRightInd w:val="0"/>
              <w:jc w:val="center"/>
            </w:pPr>
            <w:r w:rsidRPr="00F74350">
              <w:t>0-10</w:t>
            </w:r>
          </w:p>
        </w:tc>
      </w:tr>
      <w:tr w:rsidR="00F74350" w:rsidRPr="00C4371D" w14:paraId="1906A64C" w14:textId="77777777" w:rsidTr="002138FB">
        <w:trPr>
          <w:trHeight w:val="396"/>
          <w:jc w:val="center"/>
        </w:trPr>
        <w:tc>
          <w:tcPr>
            <w:tcW w:w="1980" w:type="dxa"/>
            <w:vMerge w:val="restart"/>
            <w:vAlign w:val="center"/>
            <w:hideMark/>
          </w:tcPr>
          <w:p w14:paraId="50F6722F" w14:textId="77777777" w:rsidR="00F74350" w:rsidRPr="002138FB" w:rsidRDefault="00F74350" w:rsidP="002138FB">
            <w:pPr>
              <w:overflowPunct w:val="0"/>
              <w:autoSpaceDE w:val="0"/>
              <w:autoSpaceDN w:val="0"/>
              <w:adjustRightInd w:val="0"/>
              <w:jc w:val="center"/>
            </w:pPr>
            <w:r w:rsidRPr="002138FB">
              <w:t>Medium</w:t>
            </w:r>
          </w:p>
        </w:tc>
        <w:tc>
          <w:tcPr>
            <w:tcW w:w="2610" w:type="dxa"/>
            <w:vAlign w:val="center"/>
            <w:hideMark/>
          </w:tcPr>
          <w:p w14:paraId="19875E34" w14:textId="77777777" w:rsidR="00F74350" w:rsidRPr="002138FB" w:rsidRDefault="00F74350" w:rsidP="002138FB">
            <w:pPr>
              <w:overflowPunct w:val="0"/>
              <w:autoSpaceDE w:val="0"/>
              <w:autoSpaceDN w:val="0"/>
              <w:adjustRightInd w:val="0"/>
              <w:jc w:val="center"/>
            </w:pPr>
            <w:r w:rsidRPr="002138FB">
              <w:t>Heavier than 100 lbs</w:t>
            </w:r>
          </w:p>
        </w:tc>
        <w:tc>
          <w:tcPr>
            <w:tcW w:w="2790" w:type="dxa"/>
            <w:vAlign w:val="center"/>
            <w:hideMark/>
          </w:tcPr>
          <w:p w14:paraId="79359E4B" w14:textId="77777777" w:rsidR="00F74350" w:rsidRPr="002138FB" w:rsidRDefault="00F74350" w:rsidP="002138FB">
            <w:pPr>
              <w:overflowPunct w:val="0"/>
              <w:autoSpaceDE w:val="0"/>
              <w:autoSpaceDN w:val="0"/>
              <w:adjustRightInd w:val="0"/>
              <w:jc w:val="center"/>
            </w:pPr>
            <w:r w:rsidRPr="002138FB">
              <w:t>50-100</w:t>
            </w:r>
          </w:p>
        </w:tc>
      </w:tr>
      <w:tr w:rsidR="00F74350" w:rsidRPr="00C4371D" w14:paraId="298F4CE3" w14:textId="77777777" w:rsidTr="002138FB">
        <w:trPr>
          <w:trHeight w:val="396"/>
          <w:jc w:val="center"/>
        </w:trPr>
        <w:tc>
          <w:tcPr>
            <w:tcW w:w="1980" w:type="dxa"/>
            <w:vMerge/>
            <w:vAlign w:val="center"/>
            <w:hideMark/>
          </w:tcPr>
          <w:p w14:paraId="2F267F9C" w14:textId="77777777" w:rsidR="00F74350" w:rsidRPr="00F74350" w:rsidRDefault="00F74350" w:rsidP="00F74350"/>
        </w:tc>
        <w:tc>
          <w:tcPr>
            <w:tcW w:w="2610" w:type="dxa"/>
            <w:vAlign w:val="center"/>
            <w:hideMark/>
          </w:tcPr>
          <w:p w14:paraId="72FA60E1" w14:textId="77777777" w:rsidR="00F74350" w:rsidRPr="00F74350" w:rsidRDefault="00F74350" w:rsidP="00F74350">
            <w:pPr>
              <w:overflowPunct w:val="0"/>
              <w:autoSpaceDE w:val="0"/>
              <w:autoSpaceDN w:val="0"/>
              <w:adjustRightInd w:val="0"/>
              <w:jc w:val="center"/>
            </w:pPr>
            <w:r w:rsidRPr="00F74350">
              <w:t>Smaller than 4 inches</w:t>
            </w:r>
          </w:p>
        </w:tc>
        <w:tc>
          <w:tcPr>
            <w:tcW w:w="2790" w:type="dxa"/>
            <w:vAlign w:val="center"/>
            <w:hideMark/>
          </w:tcPr>
          <w:p w14:paraId="0A639672" w14:textId="77777777" w:rsidR="00F74350" w:rsidRPr="00F74350" w:rsidRDefault="00F74350" w:rsidP="00F74350">
            <w:pPr>
              <w:overflowPunct w:val="0"/>
              <w:autoSpaceDE w:val="0"/>
              <w:autoSpaceDN w:val="0"/>
              <w:adjustRightInd w:val="0"/>
              <w:jc w:val="center"/>
            </w:pPr>
            <w:r w:rsidRPr="00F74350">
              <w:t>0-10</w:t>
            </w:r>
          </w:p>
        </w:tc>
      </w:tr>
      <w:tr w:rsidR="00F74350" w:rsidRPr="00C4371D" w14:paraId="7499183A" w14:textId="77777777" w:rsidTr="002138FB">
        <w:trPr>
          <w:trHeight w:val="396"/>
          <w:jc w:val="center"/>
        </w:trPr>
        <w:tc>
          <w:tcPr>
            <w:tcW w:w="1980" w:type="dxa"/>
            <w:vMerge w:val="restart"/>
            <w:vAlign w:val="center"/>
            <w:hideMark/>
          </w:tcPr>
          <w:p w14:paraId="79856027" w14:textId="77777777" w:rsidR="00F74350" w:rsidRPr="002138FB" w:rsidRDefault="00F74350" w:rsidP="002138FB">
            <w:pPr>
              <w:overflowPunct w:val="0"/>
              <w:autoSpaceDE w:val="0"/>
              <w:autoSpaceDN w:val="0"/>
              <w:adjustRightInd w:val="0"/>
              <w:jc w:val="center"/>
            </w:pPr>
            <w:r w:rsidRPr="002138FB">
              <w:t>Heavy</w:t>
            </w:r>
          </w:p>
        </w:tc>
        <w:tc>
          <w:tcPr>
            <w:tcW w:w="2610" w:type="dxa"/>
            <w:vAlign w:val="center"/>
            <w:hideMark/>
          </w:tcPr>
          <w:p w14:paraId="0CC6A125" w14:textId="77777777" w:rsidR="00F74350" w:rsidRPr="002138FB" w:rsidRDefault="00F74350" w:rsidP="002138FB">
            <w:pPr>
              <w:overflowPunct w:val="0"/>
              <w:autoSpaceDE w:val="0"/>
              <w:autoSpaceDN w:val="0"/>
              <w:adjustRightInd w:val="0"/>
              <w:jc w:val="center"/>
            </w:pPr>
            <w:r w:rsidRPr="002138FB">
              <w:t>Heavier than 600 lbs</w:t>
            </w:r>
          </w:p>
        </w:tc>
        <w:tc>
          <w:tcPr>
            <w:tcW w:w="2790" w:type="dxa"/>
            <w:vAlign w:val="center"/>
            <w:hideMark/>
          </w:tcPr>
          <w:p w14:paraId="3B20CE5A" w14:textId="77777777" w:rsidR="00F74350" w:rsidRPr="002138FB" w:rsidRDefault="00F74350" w:rsidP="002138FB">
            <w:pPr>
              <w:overflowPunct w:val="0"/>
              <w:autoSpaceDE w:val="0"/>
              <w:autoSpaceDN w:val="0"/>
              <w:adjustRightInd w:val="0"/>
              <w:jc w:val="center"/>
            </w:pPr>
            <w:r w:rsidRPr="002138FB">
              <w:t>50-100</w:t>
            </w:r>
          </w:p>
        </w:tc>
      </w:tr>
      <w:tr w:rsidR="00F74350" w:rsidRPr="00C4371D" w14:paraId="09EF3671" w14:textId="77777777" w:rsidTr="002138FB">
        <w:trPr>
          <w:trHeight w:val="396"/>
          <w:jc w:val="center"/>
        </w:trPr>
        <w:tc>
          <w:tcPr>
            <w:tcW w:w="1980" w:type="dxa"/>
            <w:vMerge/>
            <w:vAlign w:val="center"/>
            <w:hideMark/>
          </w:tcPr>
          <w:p w14:paraId="3043587D" w14:textId="77777777" w:rsidR="00F74350" w:rsidRPr="00F74350" w:rsidRDefault="00F74350" w:rsidP="00F74350"/>
        </w:tc>
        <w:tc>
          <w:tcPr>
            <w:tcW w:w="2610" w:type="dxa"/>
            <w:vAlign w:val="center"/>
            <w:hideMark/>
          </w:tcPr>
          <w:p w14:paraId="22A69126" w14:textId="77777777" w:rsidR="00F74350" w:rsidRPr="00F74350" w:rsidRDefault="00F74350" w:rsidP="00F74350">
            <w:pPr>
              <w:overflowPunct w:val="0"/>
              <w:autoSpaceDE w:val="0"/>
              <w:autoSpaceDN w:val="0"/>
              <w:adjustRightInd w:val="0"/>
              <w:jc w:val="center"/>
            </w:pPr>
            <w:r w:rsidRPr="00F74350">
              <w:t>Smaller than 6 inches</w:t>
            </w:r>
          </w:p>
        </w:tc>
        <w:tc>
          <w:tcPr>
            <w:tcW w:w="2790" w:type="dxa"/>
            <w:vAlign w:val="center"/>
            <w:hideMark/>
          </w:tcPr>
          <w:p w14:paraId="6B1B1B32" w14:textId="77777777" w:rsidR="00F74350" w:rsidRPr="00F74350" w:rsidRDefault="00F74350" w:rsidP="00F74350">
            <w:pPr>
              <w:overflowPunct w:val="0"/>
              <w:autoSpaceDE w:val="0"/>
              <w:autoSpaceDN w:val="0"/>
              <w:adjustRightInd w:val="0"/>
              <w:jc w:val="center"/>
            </w:pPr>
            <w:r w:rsidRPr="00F74350">
              <w:t>0-10</w:t>
            </w:r>
          </w:p>
        </w:tc>
      </w:tr>
    </w:tbl>
    <w:p w14:paraId="39084878" w14:textId="77777777" w:rsidR="00F74350" w:rsidRPr="0039028F" w:rsidRDefault="00F74350" w:rsidP="00DA4692">
      <w:pPr>
        <w:pStyle w:val="SpecifierNote"/>
      </w:pPr>
      <w:r>
        <w:t>Delete subparagraph if not required.</w:t>
      </w:r>
    </w:p>
    <w:p w14:paraId="0DD0FF02" w14:textId="557E9421" w:rsidR="00F74350" w:rsidRDefault="00F74350" w:rsidP="00DA4692">
      <w:pPr>
        <w:pStyle w:val="PR2"/>
        <w:contextualSpacing w:val="0"/>
      </w:pPr>
      <w:r>
        <w:t>Machine</w:t>
      </w:r>
      <w:r w:rsidRPr="00A72648">
        <w:t xml:space="preserve"> Placed: Stones shaped as nearly as practicable in the form of right rectangular prisms.  Fifty percent, by weight, of the stones shall weigh in excess of 300 pounds each, and the remainder of the stones shall weigh from 100 to 300 pounds each. One dimension of each stone shall be at least equal to the thickness of the riprap</w:t>
      </w:r>
      <w:r>
        <w:t>.</w:t>
      </w:r>
    </w:p>
    <w:p w14:paraId="25D3BA48" w14:textId="77777777" w:rsidR="00F74350" w:rsidRDefault="00F74350" w:rsidP="00C4371D">
      <w:pPr>
        <w:pStyle w:val="PR1"/>
      </w:pPr>
      <w:r>
        <w:t>Riprap Bedding Material</w:t>
      </w:r>
    </w:p>
    <w:p w14:paraId="469E2BBB" w14:textId="77777777" w:rsidR="00F74350" w:rsidRPr="0039028F" w:rsidRDefault="00F74350" w:rsidP="00DA4692">
      <w:pPr>
        <w:pStyle w:val="SpecifierNote"/>
      </w:pPr>
      <w:r>
        <w:t>Select gradation below to suit Project.</w:t>
      </w:r>
    </w:p>
    <w:p w14:paraId="3D007B07" w14:textId="740598F7" w:rsidR="00F74350" w:rsidRDefault="00F74350" w:rsidP="00DA4692">
      <w:pPr>
        <w:pStyle w:val="PR2"/>
        <w:spacing w:after="240"/>
        <w:contextualSpacing w:val="0"/>
      </w:pPr>
      <w:r w:rsidRPr="00C4371D">
        <w:t>Stockpiled, crushed stone, crushed air-cooled blast furnace slag, or gravel, free from organic and other deleterious materials. Comply with the gradation and material requirements specified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5"/>
        <w:gridCol w:w="2790"/>
      </w:tblGrid>
      <w:tr w:rsidR="00F74350" w:rsidRPr="00C4371D" w14:paraId="02C995CE" w14:textId="77777777" w:rsidTr="002138FB">
        <w:trPr>
          <w:trHeight w:val="98"/>
          <w:tblHeader/>
          <w:jc w:val="center"/>
        </w:trPr>
        <w:tc>
          <w:tcPr>
            <w:tcW w:w="5115" w:type="dxa"/>
            <w:gridSpan w:val="2"/>
            <w:vAlign w:val="center"/>
            <w:hideMark/>
          </w:tcPr>
          <w:p w14:paraId="567C8A11" w14:textId="77777777" w:rsidR="00F74350" w:rsidRPr="002138FB" w:rsidRDefault="00F74350" w:rsidP="002138FB">
            <w:pPr>
              <w:overflowPunct w:val="0"/>
              <w:autoSpaceDE w:val="0"/>
              <w:autoSpaceDN w:val="0"/>
              <w:adjustRightInd w:val="0"/>
              <w:jc w:val="center"/>
              <w:rPr>
                <w:b/>
              </w:rPr>
            </w:pPr>
            <w:bookmarkStart w:id="6" w:name="_Hlk138255578"/>
            <w:r w:rsidRPr="002138FB">
              <w:rPr>
                <w:b/>
              </w:rPr>
              <w:t>TYPE 1 GRADATION</w:t>
            </w:r>
          </w:p>
        </w:tc>
      </w:tr>
      <w:tr w:rsidR="00F74350" w:rsidRPr="00C4371D" w14:paraId="0085BFFC" w14:textId="77777777" w:rsidTr="002138FB">
        <w:trPr>
          <w:trHeight w:val="80"/>
          <w:tblHeader/>
          <w:jc w:val="center"/>
        </w:trPr>
        <w:tc>
          <w:tcPr>
            <w:tcW w:w="2325" w:type="dxa"/>
            <w:vAlign w:val="center"/>
          </w:tcPr>
          <w:p w14:paraId="0A84BB55" w14:textId="77777777" w:rsidR="00F74350" w:rsidRPr="002138FB" w:rsidRDefault="00F74350" w:rsidP="002138FB">
            <w:pPr>
              <w:overflowPunct w:val="0"/>
              <w:autoSpaceDE w:val="0"/>
              <w:autoSpaceDN w:val="0"/>
              <w:adjustRightInd w:val="0"/>
              <w:jc w:val="center"/>
              <w:rPr>
                <w:b/>
              </w:rPr>
            </w:pPr>
            <w:bookmarkStart w:id="7" w:name="_Hlk24097114"/>
            <w:r w:rsidRPr="002138FB">
              <w:rPr>
                <w:b/>
              </w:rPr>
              <w:t>Sieve Size Designation</w:t>
            </w:r>
          </w:p>
        </w:tc>
        <w:tc>
          <w:tcPr>
            <w:tcW w:w="2790" w:type="dxa"/>
            <w:vAlign w:val="center"/>
            <w:hideMark/>
          </w:tcPr>
          <w:p w14:paraId="211367E7" w14:textId="77777777" w:rsidR="00F74350" w:rsidRPr="002138FB" w:rsidRDefault="00F74350" w:rsidP="002138FB">
            <w:pPr>
              <w:overflowPunct w:val="0"/>
              <w:autoSpaceDE w:val="0"/>
              <w:autoSpaceDN w:val="0"/>
              <w:adjustRightInd w:val="0"/>
              <w:jc w:val="center"/>
              <w:rPr>
                <w:b/>
              </w:rPr>
            </w:pPr>
            <w:r w:rsidRPr="002138FB">
              <w:rPr>
                <w:b/>
              </w:rPr>
              <w:t>Percent Passing by Weight</w:t>
            </w:r>
          </w:p>
        </w:tc>
      </w:tr>
      <w:tr w:rsidR="00F74350" w:rsidRPr="00C4371D" w14:paraId="32E62A05" w14:textId="77777777" w:rsidTr="002138FB">
        <w:trPr>
          <w:jc w:val="center"/>
        </w:trPr>
        <w:tc>
          <w:tcPr>
            <w:tcW w:w="2325" w:type="dxa"/>
            <w:vAlign w:val="center"/>
            <w:hideMark/>
          </w:tcPr>
          <w:p w14:paraId="2622DE2F" w14:textId="77777777" w:rsidR="00F74350" w:rsidRPr="002138FB" w:rsidRDefault="00F74350" w:rsidP="002138FB">
            <w:pPr>
              <w:overflowPunct w:val="0"/>
              <w:autoSpaceDE w:val="0"/>
              <w:autoSpaceDN w:val="0"/>
              <w:adjustRightInd w:val="0"/>
              <w:jc w:val="center"/>
            </w:pPr>
            <w:r w:rsidRPr="002138FB">
              <w:t>4 inches</w:t>
            </w:r>
          </w:p>
        </w:tc>
        <w:tc>
          <w:tcPr>
            <w:tcW w:w="2790" w:type="dxa"/>
            <w:vAlign w:val="center"/>
            <w:hideMark/>
          </w:tcPr>
          <w:p w14:paraId="22B272AD" w14:textId="77777777" w:rsidR="00F74350" w:rsidRPr="002138FB" w:rsidRDefault="00F74350" w:rsidP="002138FB">
            <w:pPr>
              <w:overflowPunct w:val="0"/>
              <w:autoSpaceDE w:val="0"/>
              <w:autoSpaceDN w:val="0"/>
              <w:adjustRightInd w:val="0"/>
              <w:jc w:val="center"/>
            </w:pPr>
            <w:r w:rsidRPr="002138FB">
              <w:t>100</w:t>
            </w:r>
          </w:p>
        </w:tc>
      </w:tr>
      <w:tr w:rsidR="00F74350" w:rsidRPr="00C4371D" w14:paraId="663DCCFD" w14:textId="77777777" w:rsidTr="002138FB">
        <w:trPr>
          <w:jc w:val="center"/>
        </w:trPr>
        <w:tc>
          <w:tcPr>
            <w:tcW w:w="2325" w:type="dxa"/>
            <w:vAlign w:val="center"/>
            <w:hideMark/>
          </w:tcPr>
          <w:p w14:paraId="42E6CD1F" w14:textId="77777777" w:rsidR="00F74350" w:rsidRPr="002138FB" w:rsidRDefault="00F74350" w:rsidP="002138FB">
            <w:pPr>
              <w:overflowPunct w:val="0"/>
              <w:autoSpaceDE w:val="0"/>
              <w:autoSpaceDN w:val="0"/>
              <w:adjustRightInd w:val="0"/>
              <w:jc w:val="center"/>
            </w:pPr>
            <w:r w:rsidRPr="002138FB">
              <w:t>2 inches</w:t>
            </w:r>
          </w:p>
        </w:tc>
        <w:tc>
          <w:tcPr>
            <w:tcW w:w="2790" w:type="dxa"/>
            <w:vAlign w:val="center"/>
            <w:hideMark/>
          </w:tcPr>
          <w:p w14:paraId="2B57E6CB" w14:textId="15CA39EA" w:rsidR="00F74350" w:rsidRPr="002138FB" w:rsidRDefault="00F74350" w:rsidP="002138FB">
            <w:pPr>
              <w:overflowPunct w:val="0"/>
              <w:autoSpaceDE w:val="0"/>
              <w:autoSpaceDN w:val="0"/>
              <w:adjustRightInd w:val="0"/>
              <w:jc w:val="center"/>
            </w:pPr>
            <w:r>
              <w:t>40</w:t>
            </w:r>
            <w:r w:rsidRPr="002138FB">
              <w:t>-60</w:t>
            </w:r>
          </w:p>
        </w:tc>
      </w:tr>
      <w:tr w:rsidR="00F74350" w:rsidRPr="00C4371D" w14:paraId="6D15FBC2" w14:textId="77777777" w:rsidTr="002138FB">
        <w:trPr>
          <w:jc w:val="center"/>
        </w:trPr>
        <w:tc>
          <w:tcPr>
            <w:tcW w:w="2325" w:type="dxa"/>
            <w:vAlign w:val="center"/>
            <w:hideMark/>
          </w:tcPr>
          <w:p w14:paraId="6BEDFE8B" w14:textId="77777777" w:rsidR="00F74350" w:rsidRPr="002138FB" w:rsidRDefault="00F74350" w:rsidP="002138FB">
            <w:pPr>
              <w:overflowPunct w:val="0"/>
              <w:autoSpaceDE w:val="0"/>
              <w:autoSpaceDN w:val="0"/>
              <w:adjustRightInd w:val="0"/>
              <w:jc w:val="center"/>
            </w:pPr>
            <w:r w:rsidRPr="002138FB">
              <w:t>½ inch</w:t>
            </w:r>
          </w:p>
        </w:tc>
        <w:tc>
          <w:tcPr>
            <w:tcW w:w="2790" w:type="dxa"/>
            <w:vAlign w:val="center"/>
            <w:hideMark/>
          </w:tcPr>
          <w:p w14:paraId="244B0545" w14:textId="0A1C74FE" w:rsidR="00F74350" w:rsidRPr="002138FB" w:rsidRDefault="00F74350" w:rsidP="002138FB">
            <w:pPr>
              <w:overflowPunct w:val="0"/>
              <w:autoSpaceDE w:val="0"/>
              <w:autoSpaceDN w:val="0"/>
              <w:adjustRightInd w:val="0"/>
              <w:jc w:val="center"/>
            </w:pPr>
            <w:r w:rsidRPr="002138FB">
              <w:t>0-</w:t>
            </w:r>
            <w:r>
              <w:t>1</w:t>
            </w:r>
            <w:r w:rsidRPr="002138FB">
              <w:t>5</w:t>
            </w:r>
          </w:p>
        </w:tc>
      </w:tr>
      <w:tr w:rsidR="00F74350" w:rsidRPr="00C4371D" w14:paraId="0CDED495" w14:textId="77777777" w:rsidTr="002138FB">
        <w:trPr>
          <w:jc w:val="center"/>
        </w:trPr>
        <w:tc>
          <w:tcPr>
            <w:tcW w:w="2325" w:type="dxa"/>
            <w:vAlign w:val="center"/>
            <w:hideMark/>
          </w:tcPr>
          <w:p w14:paraId="7F683D8E" w14:textId="77777777" w:rsidR="00F74350" w:rsidRPr="002138FB" w:rsidRDefault="00F74350" w:rsidP="002138FB">
            <w:pPr>
              <w:overflowPunct w:val="0"/>
              <w:autoSpaceDE w:val="0"/>
              <w:autoSpaceDN w:val="0"/>
              <w:adjustRightInd w:val="0"/>
              <w:jc w:val="center"/>
            </w:pPr>
            <w:r w:rsidRPr="002138FB">
              <w:t>No. 200</w:t>
            </w:r>
          </w:p>
        </w:tc>
        <w:tc>
          <w:tcPr>
            <w:tcW w:w="2790" w:type="dxa"/>
            <w:vAlign w:val="center"/>
            <w:hideMark/>
          </w:tcPr>
          <w:p w14:paraId="5D0E68FF" w14:textId="00C0E37C" w:rsidR="00F74350" w:rsidRPr="002138FB" w:rsidRDefault="00F74350" w:rsidP="002138FB">
            <w:pPr>
              <w:overflowPunct w:val="0"/>
              <w:autoSpaceDE w:val="0"/>
              <w:autoSpaceDN w:val="0"/>
              <w:adjustRightInd w:val="0"/>
              <w:jc w:val="center"/>
            </w:pPr>
            <w:r w:rsidRPr="002138FB">
              <w:t>0-</w:t>
            </w:r>
            <w:r>
              <w:t>2</w:t>
            </w:r>
          </w:p>
        </w:tc>
        <w:bookmarkEnd w:id="7"/>
      </w:tr>
      <w:bookmarkEnd w:id="6"/>
    </w:tbl>
    <w:p w14:paraId="5B8E18B7" w14:textId="77777777" w:rsidR="00F74350" w:rsidRDefault="00F74350" w:rsidP="00C4371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3"/>
        <w:gridCol w:w="2847"/>
      </w:tblGrid>
      <w:tr w:rsidR="00F74350" w:rsidRPr="00951AA8" w14:paraId="28B47B71" w14:textId="77777777" w:rsidTr="002138FB">
        <w:trPr>
          <w:trHeight w:val="70"/>
          <w:tblHeader/>
          <w:jc w:val="center"/>
        </w:trPr>
        <w:tc>
          <w:tcPr>
            <w:tcW w:w="5220" w:type="dxa"/>
            <w:gridSpan w:val="2"/>
            <w:vAlign w:val="center"/>
            <w:hideMark/>
          </w:tcPr>
          <w:p w14:paraId="75571458" w14:textId="77777777" w:rsidR="00F74350" w:rsidRPr="002138FB" w:rsidRDefault="00F74350" w:rsidP="002138FB">
            <w:pPr>
              <w:overflowPunct w:val="0"/>
              <w:autoSpaceDE w:val="0"/>
              <w:autoSpaceDN w:val="0"/>
              <w:adjustRightInd w:val="0"/>
              <w:jc w:val="center"/>
              <w:rPr>
                <w:b/>
              </w:rPr>
            </w:pPr>
            <w:bookmarkStart w:id="8" w:name="_Hlk138255587"/>
            <w:r w:rsidRPr="002138FB">
              <w:rPr>
                <w:b/>
              </w:rPr>
              <w:t>TYPE 2 GRADATION</w:t>
            </w:r>
          </w:p>
        </w:tc>
      </w:tr>
      <w:tr w:rsidR="00F74350" w:rsidRPr="00951AA8" w14:paraId="2CA44421" w14:textId="77777777" w:rsidTr="002138FB">
        <w:trPr>
          <w:trHeight w:val="70"/>
          <w:tblHeader/>
          <w:jc w:val="center"/>
        </w:trPr>
        <w:tc>
          <w:tcPr>
            <w:tcW w:w="2373" w:type="dxa"/>
            <w:vAlign w:val="center"/>
          </w:tcPr>
          <w:p w14:paraId="2EF0611D" w14:textId="77777777" w:rsidR="00F74350" w:rsidRPr="002138FB" w:rsidRDefault="00F74350" w:rsidP="002138FB">
            <w:pPr>
              <w:overflowPunct w:val="0"/>
              <w:autoSpaceDE w:val="0"/>
              <w:autoSpaceDN w:val="0"/>
              <w:adjustRightInd w:val="0"/>
              <w:jc w:val="center"/>
              <w:rPr>
                <w:b/>
              </w:rPr>
            </w:pPr>
            <w:r w:rsidRPr="002138FB">
              <w:rPr>
                <w:b/>
              </w:rPr>
              <w:t>Sieve Size Designation</w:t>
            </w:r>
          </w:p>
        </w:tc>
        <w:tc>
          <w:tcPr>
            <w:tcW w:w="2847" w:type="dxa"/>
            <w:vAlign w:val="center"/>
            <w:hideMark/>
          </w:tcPr>
          <w:p w14:paraId="56CA5ED0" w14:textId="77777777" w:rsidR="00F74350" w:rsidRPr="002138FB" w:rsidRDefault="00F74350" w:rsidP="002138FB">
            <w:pPr>
              <w:overflowPunct w:val="0"/>
              <w:autoSpaceDE w:val="0"/>
              <w:autoSpaceDN w:val="0"/>
              <w:adjustRightInd w:val="0"/>
              <w:jc w:val="center"/>
              <w:rPr>
                <w:b/>
              </w:rPr>
            </w:pPr>
            <w:r w:rsidRPr="002138FB">
              <w:rPr>
                <w:b/>
              </w:rPr>
              <w:t>Percent Passing by Weight</w:t>
            </w:r>
          </w:p>
        </w:tc>
      </w:tr>
      <w:tr w:rsidR="00F74350" w:rsidRPr="00951AA8" w14:paraId="518EEF86" w14:textId="77777777" w:rsidTr="002138FB">
        <w:trPr>
          <w:jc w:val="center"/>
        </w:trPr>
        <w:tc>
          <w:tcPr>
            <w:tcW w:w="2373" w:type="dxa"/>
            <w:vAlign w:val="center"/>
            <w:hideMark/>
          </w:tcPr>
          <w:p w14:paraId="34D6756A" w14:textId="77777777" w:rsidR="00F74350" w:rsidRPr="002138FB" w:rsidRDefault="00F74350" w:rsidP="002138FB">
            <w:pPr>
              <w:overflowPunct w:val="0"/>
              <w:autoSpaceDE w:val="0"/>
              <w:autoSpaceDN w:val="0"/>
              <w:adjustRightInd w:val="0"/>
              <w:jc w:val="center"/>
            </w:pPr>
            <w:r w:rsidRPr="002138FB">
              <w:t>1½ inches</w:t>
            </w:r>
          </w:p>
        </w:tc>
        <w:tc>
          <w:tcPr>
            <w:tcW w:w="2847" w:type="dxa"/>
            <w:vAlign w:val="center"/>
            <w:hideMark/>
          </w:tcPr>
          <w:p w14:paraId="22632BAA" w14:textId="77777777" w:rsidR="00F74350" w:rsidRPr="002138FB" w:rsidRDefault="00F74350" w:rsidP="002138FB">
            <w:pPr>
              <w:overflowPunct w:val="0"/>
              <w:autoSpaceDE w:val="0"/>
              <w:autoSpaceDN w:val="0"/>
              <w:adjustRightInd w:val="0"/>
              <w:jc w:val="center"/>
            </w:pPr>
            <w:r w:rsidRPr="002138FB">
              <w:t>100</w:t>
            </w:r>
          </w:p>
        </w:tc>
      </w:tr>
      <w:tr w:rsidR="00F74350" w:rsidRPr="00951AA8" w14:paraId="3461A847" w14:textId="77777777" w:rsidTr="002138FB">
        <w:trPr>
          <w:jc w:val="center"/>
        </w:trPr>
        <w:tc>
          <w:tcPr>
            <w:tcW w:w="2373" w:type="dxa"/>
            <w:vAlign w:val="center"/>
            <w:hideMark/>
          </w:tcPr>
          <w:p w14:paraId="7387CE8E" w14:textId="77777777" w:rsidR="00F74350" w:rsidRPr="002138FB" w:rsidRDefault="00F74350" w:rsidP="002138FB">
            <w:pPr>
              <w:overflowPunct w:val="0"/>
              <w:autoSpaceDE w:val="0"/>
              <w:autoSpaceDN w:val="0"/>
              <w:adjustRightInd w:val="0"/>
              <w:jc w:val="center"/>
            </w:pPr>
            <w:r w:rsidRPr="002138FB">
              <w:t>1 inches</w:t>
            </w:r>
          </w:p>
        </w:tc>
        <w:tc>
          <w:tcPr>
            <w:tcW w:w="2847" w:type="dxa"/>
            <w:vAlign w:val="center"/>
            <w:hideMark/>
          </w:tcPr>
          <w:p w14:paraId="3C0C067C" w14:textId="77777777" w:rsidR="00F74350" w:rsidRPr="002138FB" w:rsidRDefault="00F74350" w:rsidP="002138FB">
            <w:pPr>
              <w:overflowPunct w:val="0"/>
              <w:autoSpaceDE w:val="0"/>
              <w:autoSpaceDN w:val="0"/>
              <w:adjustRightInd w:val="0"/>
              <w:jc w:val="center"/>
            </w:pPr>
            <w:r w:rsidRPr="002138FB">
              <w:t>90-100</w:t>
            </w:r>
          </w:p>
        </w:tc>
      </w:tr>
      <w:tr w:rsidR="00F74350" w:rsidRPr="00951AA8" w14:paraId="070F42DC" w14:textId="77777777" w:rsidTr="002138FB">
        <w:trPr>
          <w:jc w:val="center"/>
        </w:trPr>
        <w:tc>
          <w:tcPr>
            <w:tcW w:w="2373" w:type="dxa"/>
            <w:vAlign w:val="center"/>
            <w:hideMark/>
          </w:tcPr>
          <w:p w14:paraId="21816E7B" w14:textId="77777777" w:rsidR="00F74350" w:rsidRPr="002138FB" w:rsidRDefault="00F74350" w:rsidP="002138FB">
            <w:pPr>
              <w:overflowPunct w:val="0"/>
              <w:autoSpaceDE w:val="0"/>
              <w:autoSpaceDN w:val="0"/>
              <w:adjustRightInd w:val="0"/>
              <w:jc w:val="center"/>
            </w:pPr>
            <w:r w:rsidRPr="002138FB">
              <w:t>½ inch</w:t>
            </w:r>
          </w:p>
        </w:tc>
        <w:tc>
          <w:tcPr>
            <w:tcW w:w="2847" w:type="dxa"/>
            <w:vAlign w:val="center"/>
            <w:hideMark/>
          </w:tcPr>
          <w:p w14:paraId="7D78317B" w14:textId="77777777" w:rsidR="00F74350" w:rsidRPr="002138FB" w:rsidRDefault="00F74350" w:rsidP="002138FB">
            <w:pPr>
              <w:overflowPunct w:val="0"/>
              <w:autoSpaceDE w:val="0"/>
              <w:autoSpaceDN w:val="0"/>
              <w:adjustRightInd w:val="0"/>
              <w:jc w:val="center"/>
            </w:pPr>
            <w:r w:rsidRPr="002138FB">
              <w:t>25-60</w:t>
            </w:r>
          </w:p>
        </w:tc>
      </w:tr>
      <w:tr w:rsidR="00F74350" w:rsidRPr="00951AA8" w14:paraId="1314E20B" w14:textId="77777777" w:rsidTr="002138FB">
        <w:trPr>
          <w:jc w:val="center"/>
        </w:trPr>
        <w:tc>
          <w:tcPr>
            <w:tcW w:w="2373" w:type="dxa"/>
            <w:vAlign w:val="center"/>
            <w:hideMark/>
          </w:tcPr>
          <w:p w14:paraId="6F84991B" w14:textId="77777777" w:rsidR="00F74350" w:rsidRPr="002138FB" w:rsidRDefault="00F74350" w:rsidP="002138FB">
            <w:pPr>
              <w:overflowPunct w:val="0"/>
              <w:autoSpaceDE w:val="0"/>
              <w:autoSpaceDN w:val="0"/>
              <w:adjustRightInd w:val="0"/>
              <w:jc w:val="center"/>
            </w:pPr>
            <w:r w:rsidRPr="002138FB">
              <w:t>¼ inch</w:t>
            </w:r>
          </w:p>
        </w:tc>
        <w:tc>
          <w:tcPr>
            <w:tcW w:w="2847" w:type="dxa"/>
            <w:vAlign w:val="center"/>
            <w:hideMark/>
          </w:tcPr>
          <w:p w14:paraId="4CF2A0EF" w14:textId="77777777" w:rsidR="00F74350" w:rsidRPr="002138FB" w:rsidRDefault="00F74350" w:rsidP="002138FB">
            <w:pPr>
              <w:overflowPunct w:val="0"/>
              <w:autoSpaceDE w:val="0"/>
              <w:autoSpaceDN w:val="0"/>
              <w:adjustRightInd w:val="0"/>
              <w:jc w:val="center"/>
            </w:pPr>
            <w:r w:rsidRPr="002138FB">
              <w:t>0-10</w:t>
            </w:r>
          </w:p>
        </w:tc>
      </w:tr>
      <w:tr w:rsidR="00F74350" w:rsidRPr="00951AA8" w14:paraId="7B09C02E" w14:textId="77777777" w:rsidTr="002138FB">
        <w:trPr>
          <w:jc w:val="center"/>
        </w:trPr>
        <w:tc>
          <w:tcPr>
            <w:tcW w:w="2373" w:type="dxa"/>
            <w:vAlign w:val="center"/>
          </w:tcPr>
          <w:p w14:paraId="23308515" w14:textId="77777777" w:rsidR="00F74350" w:rsidRPr="002138FB" w:rsidRDefault="00F74350" w:rsidP="002138FB">
            <w:pPr>
              <w:overflowPunct w:val="0"/>
              <w:autoSpaceDE w:val="0"/>
              <w:autoSpaceDN w:val="0"/>
              <w:adjustRightInd w:val="0"/>
              <w:jc w:val="center"/>
            </w:pPr>
            <w:r w:rsidRPr="002138FB">
              <w:t>No. 200</w:t>
            </w:r>
          </w:p>
        </w:tc>
        <w:tc>
          <w:tcPr>
            <w:tcW w:w="2847" w:type="dxa"/>
            <w:vAlign w:val="center"/>
          </w:tcPr>
          <w:p w14:paraId="176E3C3D" w14:textId="77777777" w:rsidR="00F74350" w:rsidRPr="002138FB" w:rsidRDefault="00F74350" w:rsidP="002138FB">
            <w:pPr>
              <w:overflowPunct w:val="0"/>
              <w:autoSpaceDE w:val="0"/>
              <w:autoSpaceDN w:val="0"/>
              <w:adjustRightInd w:val="0"/>
              <w:jc w:val="center"/>
            </w:pPr>
            <w:r w:rsidRPr="002138FB">
              <w:t>0-2</w:t>
            </w:r>
          </w:p>
        </w:tc>
      </w:tr>
    </w:tbl>
    <w:bookmarkEnd w:id="8"/>
    <w:p w14:paraId="401EA49D" w14:textId="77777777" w:rsidR="00F74350" w:rsidRDefault="00F74350" w:rsidP="0071248E">
      <w:pPr>
        <w:pStyle w:val="PR1"/>
      </w:pPr>
      <w:r>
        <w:t>Pea Gravel:</w:t>
      </w:r>
    </w:p>
    <w:p w14:paraId="729DF745" w14:textId="77777777" w:rsidR="00F74350" w:rsidRDefault="00F74350" w:rsidP="00DA4692">
      <w:pPr>
        <w:pStyle w:val="PR2"/>
        <w:contextualSpacing w:val="0"/>
      </w:pPr>
      <w:r>
        <w:t>Description: Comply with NYSDOT Article 703-02 for screened gravel.</w:t>
      </w:r>
    </w:p>
    <w:p w14:paraId="312402E9" w14:textId="77777777" w:rsidR="00F74350" w:rsidRDefault="00F74350" w:rsidP="00DA4692">
      <w:pPr>
        <w:pStyle w:val="PR2"/>
        <w:spacing w:before="0" w:after="240"/>
        <w:contextualSpacing w:val="0"/>
      </w:pPr>
      <w:r w:rsidRPr="00D07330">
        <w:t>Comply with the gradation requirements specified below</w:t>
      </w:r>
      <w:r>
        <w:t>:</w:t>
      </w:r>
    </w:p>
    <w:tbl>
      <w:tblPr>
        <w:tblW w:w="0" w:type="auto"/>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214"/>
      </w:tblGrid>
      <w:tr w:rsidR="00F74350" w:rsidRPr="00D07330" w14:paraId="7D771929" w14:textId="77777777" w:rsidTr="00ED5D8E">
        <w:trPr>
          <w:tblHeader/>
        </w:trPr>
        <w:tc>
          <w:tcPr>
            <w:tcW w:w="2214" w:type="dxa"/>
            <w:vAlign w:val="center"/>
          </w:tcPr>
          <w:p w14:paraId="4D906D66" w14:textId="77777777" w:rsidR="00F74350" w:rsidRPr="00D07330" w:rsidRDefault="00F74350" w:rsidP="00ED5D8E">
            <w:pPr>
              <w:overflowPunct w:val="0"/>
              <w:autoSpaceDE w:val="0"/>
              <w:autoSpaceDN w:val="0"/>
              <w:adjustRightInd w:val="0"/>
              <w:jc w:val="center"/>
              <w:textAlignment w:val="baseline"/>
              <w:rPr>
                <w:b/>
              </w:rPr>
            </w:pPr>
            <w:r w:rsidRPr="00D07330">
              <w:rPr>
                <w:b/>
              </w:rPr>
              <w:t>Sieve Size</w:t>
            </w:r>
          </w:p>
        </w:tc>
        <w:tc>
          <w:tcPr>
            <w:tcW w:w="2214" w:type="dxa"/>
            <w:vAlign w:val="center"/>
          </w:tcPr>
          <w:p w14:paraId="38C1CA35" w14:textId="77777777" w:rsidR="00F74350" w:rsidRPr="00D07330" w:rsidRDefault="00F74350" w:rsidP="00ED5D8E">
            <w:pPr>
              <w:overflowPunct w:val="0"/>
              <w:autoSpaceDE w:val="0"/>
              <w:autoSpaceDN w:val="0"/>
              <w:adjustRightInd w:val="0"/>
              <w:jc w:val="center"/>
              <w:textAlignment w:val="baseline"/>
            </w:pPr>
            <w:r w:rsidRPr="00D07330">
              <w:rPr>
                <w:b/>
              </w:rPr>
              <w:t>Percent Passing</w:t>
            </w:r>
          </w:p>
        </w:tc>
      </w:tr>
      <w:tr w:rsidR="00F74350" w:rsidRPr="00D07330" w14:paraId="42388722" w14:textId="77777777" w:rsidTr="00ED5D8E">
        <w:tc>
          <w:tcPr>
            <w:tcW w:w="2214" w:type="dxa"/>
            <w:vAlign w:val="center"/>
          </w:tcPr>
          <w:p w14:paraId="5D0D25CA" w14:textId="77777777" w:rsidR="00F74350" w:rsidRPr="00D07330" w:rsidRDefault="00F74350" w:rsidP="00EF6646">
            <w:pPr>
              <w:overflowPunct w:val="0"/>
              <w:autoSpaceDE w:val="0"/>
              <w:autoSpaceDN w:val="0"/>
              <w:adjustRightInd w:val="0"/>
              <w:jc w:val="center"/>
              <w:textAlignment w:val="baseline"/>
            </w:pPr>
            <w:r>
              <w:t>1/2 inch</w:t>
            </w:r>
          </w:p>
        </w:tc>
        <w:tc>
          <w:tcPr>
            <w:tcW w:w="2214" w:type="dxa"/>
            <w:vAlign w:val="center"/>
          </w:tcPr>
          <w:p w14:paraId="5C6FA5CD" w14:textId="77777777" w:rsidR="00F74350" w:rsidRDefault="00F74350" w:rsidP="00EF6646">
            <w:pPr>
              <w:overflowPunct w:val="0"/>
              <w:autoSpaceDE w:val="0"/>
              <w:autoSpaceDN w:val="0"/>
              <w:adjustRightInd w:val="0"/>
              <w:jc w:val="center"/>
              <w:textAlignment w:val="baseline"/>
            </w:pPr>
            <w:r>
              <w:t>100</w:t>
            </w:r>
          </w:p>
        </w:tc>
      </w:tr>
      <w:tr w:rsidR="00F74350" w:rsidRPr="00D07330" w14:paraId="6B024680" w14:textId="77777777" w:rsidTr="00ED5D8E">
        <w:tc>
          <w:tcPr>
            <w:tcW w:w="2214" w:type="dxa"/>
            <w:vAlign w:val="center"/>
          </w:tcPr>
          <w:p w14:paraId="0DA4FF24" w14:textId="77777777" w:rsidR="00F74350" w:rsidRPr="00D07330" w:rsidRDefault="00F74350" w:rsidP="00EF6646">
            <w:pPr>
              <w:overflowPunct w:val="0"/>
              <w:autoSpaceDE w:val="0"/>
              <w:autoSpaceDN w:val="0"/>
              <w:adjustRightInd w:val="0"/>
              <w:jc w:val="center"/>
              <w:textAlignment w:val="baseline"/>
            </w:pPr>
            <w:r w:rsidRPr="00D07330">
              <w:t>1</w:t>
            </w:r>
            <w:r>
              <w:t>/4</w:t>
            </w:r>
            <w:r w:rsidRPr="00D07330">
              <w:t xml:space="preserve"> inch</w:t>
            </w:r>
          </w:p>
        </w:tc>
        <w:tc>
          <w:tcPr>
            <w:tcW w:w="2214" w:type="dxa"/>
            <w:vAlign w:val="center"/>
          </w:tcPr>
          <w:p w14:paraId="0DDCCF1D" w14:textId="77777777" w:rsidR="00F74350" w:rsidRPr="00D07330" w:rsidRDefault="00F74350" w:rsidP="00EF6646">
            <w:pPr>
              <w:overflowPunct w:val="0"/>
              <w:autoSpaceDE w:val="0"/>
              <w:autoSpaceDN w:val="0"/>
              <w:adjustRightInd w:val="0"/>
              <w:jc w:val="center"/>
              <w:textAlignment w:val="baseline"/>
            </w:pPr>
            <w:r>
              <w:t>90-100</w:t>
            </w:r>
          </w:p>
        </w:tc>
      </w:tr>
      <w:tr w:rsidR="00F74350" w:rsidRPr="00D07330" w14:paraId="0BC0E2AE" w14:textId="77777777" w:rsidTr="00ED5D8E">
        <w:tc>
          <w:tcPr>
            <w:tcW w:w="2214" w:type="dxa"/>
            <w:vAlign w:val="center"/>
          </w:tcPr>
          <w:p w14:paraId="51579AD4" w14:textId="77777777" w:rsidR="00F74350" w:rsidRPr="00D07330" w:rsidRDefault="00F74350" w:rsidP="00EF6646">
            <w:pPr>
              <w:overflowPunct w:val="0"/>
              <w:autoSpaceDE w:val="0"/>
              <w:autoSpaceDN w:val="0"/>
              <w:adjustRightInd w:val="0"/>
              <w:jc w:val="center"/>
              <w:textAlignment w:val="baseline"/>
            </w:pPr>
            <w:r>
              <w:t>1/8 inch</w:t>
            </w:r>
          </w:p>
        </w:tc>
        <w:tc>
          <w:tcPr>
            <w:tcW w:w="2214" w:type="dxa"/>
            <w:vAlign w:val="center"/>
          </w:tcPr>
          <w:p w14:paraId="28DB9A72" w14:textId="77777777" w:rsidR="00F74350" w:rsidRPr="00D07330" w:rsidRDefault="00F74350" w:rsidP="00EF6646">
            <w:pPr>
              <w:overflowPunct w:val="0"/>
              <w:autoSpaceDE w:val="0"/>
              <w:autoSpaceDN w:val="0"/>
              <w:adjustRightInd w:val="0"/>
              <w:jc w:val="center"/>
              <w:textAlignment w:val="baseline"/>
            </w:pPr>
            <w:r w:rsidRPr="00D07330">
              <w:t>0-1</w:t>
            </w:r>
            <w:r>
              <w:t>5</w:t>
            </w:r>
          </w:p>
        </w:tc>
      </w:tr>
      <w:tr w:rsidR="00F74350" w:rsidRPr="00D07330" w14:paraId="34295DBA" w14:textId="77777777" w:rsidTr="00ED5D8E">
        <w:tc>
          <w:tcPr>
            <w:tcW w:w="2214" w:type="dxa"/>
            <w:vAlign w:val="center"/>
          </w:tcPr>
          <w:p w14:paraId="01C4E9D5" w14:textId="77777777" w:rsidR="00F74350" w:rsidRPr="00D07330" w:rsidRDefault="00F74350" w:rsidP="00EF6646">
            <w:pPr>
              <w:overflowPunct w:val="0"/>
              <w:autoSpaceDE w:val="0"/>
              <w:autoSpaceDN w:val="0"/>
              <w:adjustRightInd w:val="0"/>
              <w:jc w:val="center"/>
              <w:textAlignment w:val="baseline"/>
            </w:pPr>
            <w:r>
              <w:t>No. 200</w:t>
            </w:r>
          </w:p>
        </w:tc>
        <w:tc>
          <w:tcPr>
            <w:tcW w:w="2214" w:type="dxa"/>
            <w:vAlign w:val="center"/>
          </w:tcPr>
          <w:p w14:paraId="7A4B41D4" w14:textId="77777777" w:rsidR="00F74350" w:rsidRPr="00D07330" w:rsidRDefault="00F74350" w:rsidP="00EF6646">
            <w:pPr>
              <w:overflowPunct w:val="0"/>
              <w:autoSpaceDE w:val="0"/>
              <w:autoSpaceDN w:val="0"/>
              <w:adjustRightInd w:val="0"/>
              <w:jc w:val="center"/>
              <w:textAlignment w:val="baseline"/>
            </w:pPr>
            <w:r>
              <w:t>0-1</w:t>
            </w:r>
          </w:p>
        </w:tc>
      </w:tr>
    </w:tbl>
    <w:p w14:paraId="628FA9B3" w14:textId="77777777" w:rsidR="00F74350" w:rsidRDefault="00F74350" w:rsidP="00325380">
      <w:pPr>
        <w:pStyle w:val="PR1"/>
      </w:pPr>
      <w:r>
        <w:t xml:space="preserve">Topsoil: </w:t>
      </w:r>
    </w:p>
    <w:p w14:paraId="3C6E16F6" w14:textId="77777777" w:rsidR="00F74350" w:rsidRDefault="00F74350" w:rsidP="00DA4692">
      <w:pPr>
        <w:pStyle w:val="PR2"/>
        <w:contextualSpacing w:val="0"/>
      </w:pPr>
      <w:r>
        <w:t>Description: Existing, on-site soil; imported soil; or manufactured soil that has been modified with soil amendments and perhaps fertilizers to produce a soil mixture best for vegetation growth. Material shall be original loam topsoil, well drained homogeneous texture and of uniform grade, without the admixture of subsoil material and entirely free of dense material, hardpan, sod, or any other objectionable foreign material.</w:t>
      </w:r>
    </w:p>
    <w:p w14:paraId="6673BA86" w14:textId="77777777" w:rsidR="00F74350" w:rsidRDefault="00F74350" w:rsidP="00F74350">
      <w:pPr>
        <w:pStyle w:val="PR2"/>
        <w:spacing w:before="0"/>
        <w:contextualSpacing w:val="0"/>
      </w:pPr>
      <w:r>
        <w:t>Organic Content: Containing not less than 4 percent nor more than 20 percent organic content in that portion of a sample passing a 1/4 inch sieve, when determined by the wet combustion method on a sample dried at 105 degrees C.</w:t>
      </w:r>
    </w:p>
    <w:p w14:paraId="00C79ABF" w14:textId="77777777" w:rsidR="00F74350" w:rsidRDefault="00F74350" w:rsidP="00F74350">
      <w:pPr>
        <w:pStyle w:val="PR2"/>
        <w:spacing w:before="0"/>
        <w:contextualSpacing w:val="0"/>
      </w:pPr>
      <w:r>
        <w:t>pH: Containing a Ph value within the range of 4.5 to 7 on that portion of the sample passing a 1/4 inch sieve.</w:t>
      </w:r>
    </w:p>
    <w:p w14:paraId="048852BA" w14:textId="77777777" w:rsidR="00F74350" w:rsidRDefault="00F74350" w:rsidP="00DA4692">
      <w:pPr>
        <w:pStyle w:val="PR2"/>
        <w:spacing w:before="0" w:after="240"/>
        <w:contextualSpacing w:val="0"/>
      </w:pPr>
      <w:r>
        <w:t>Comply with the gradation requirement specified below:</w:t>
      </w:r>
    </w:p>
    <w:tbl>
      <w:tblPr>
        <w:tblW w:w="531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3060"/>
      </w:tblGrid>
      <w:tr w:rsidR="00F74350" w14:paraId="64A93F9B" w14:textId="77777777" w:rsidTr="00AD496E">
        <w:trPr>
          <w:tblHeader/>
        </w:trPr>
        <w:tc>
          <w:tcPr>
            <w:tcW w:w="2250" w:type="dxa"/>
            <w:hideMark/>
          </w:tcPr>
          <w:p w14:paraId="7CDA6C08" w14:textId="77777777" w:rsidR="00F74350" w:rsidRPr="00AD496E" w:rsidRDefault="00F74350" w:rsidP="00AD496E">
            <w:pPr>
              <w:overflowPunct w:val="0"/>
              <w:autoSpaceDE w:val="0"/>
              <w:autoSpaceDN w:val="0"/>
              <w:adjustRightInd w:val="0"/>
              <w:jc w:val="center"/>
              <w:textAlignment w:val="baseline"/>
              <w:rPr>
                <w:b/>
              </w:rPr>
            </w:pPr>
            <w:r>
              <w:rPr>
                <w:b/>
              </w:rPr>
              <w:t>Sieve Size</w:t>
            </w:r>
          </w:p>
        </w:tc>
        <w:tc>
          <w:tcPr>
            <w:tcW w:w="3060" w:type="dxa"/>
            <w:hideMark/>
          </w:tcPr>
          <w:p w14:paraId="626F58A9" w14:textId="77777777" w:rsidR="00F74350" w:rsidRPr="00AD496E" w:rsidRDefault="00F74350" w:rsidP="00AD496E">
            <w:pPr>
              <w:overflowPunct w:val="0"/>
              <w:autoSpaceDE w:val="0"/>
              <w:autoSpaceDN w:val="0"/>
              <w:adjustRightInd w:val="0"/>
              <w:jc w:val="center"/>
              <w:textAlignment w:val="baseline"/>
              <w:rPr>
                <w:b/>
              </w:rPr>
            </w:pPr>
            <w:r>
              <w:rPr>
                <w:b/>
              </w:rPr>
              <w:t>Percent Passing</w:t>
            </w:r>
          </w:p>
        </w:tc>
      </w:tr>
      <w:tr w:rsidR="00F74350" w14:paraId="7BF41D24" w14:textId="77777777" w:rsidTr="00AD496E">
        <w:tc>
          <w:tcPr>
            <w:tcW w:w="2250" w:type="dxa"/>
            <w:hideMark/>
          </w:tcPr>
          <w:p w14:paraId="4BFA12F2" w14:textId="77777777" w:rsidR="00F74350" w:rsidRPr="00AD496E" w:rsidRDefault="00F74350" w:rsidP="00AD496E">
            <w:pPr>
              <w:overflowPunct w:val="0"/>
              <w:autoSpaceDE w:val="0"/>
              <w:autoSpaceDN w:val="0"/>
              <w:adjustRightInd w:val="0"/>
              <w:jc w:val="center"/>
              <w:textAlignment w:val="baseline"/>
              <w:rPr>
                <w:bCs/>
              </w:rPr>
            </w:pPr>
            <w:r w:rsidRPr="00AD496E">
              <w:rPr>
                <w:bCs/>
              </w:rPr>
              <w:t>1 inch</w:t>
            </w:r>
          </w:p>
        </w:tc>
        <w:tc>
          <w:tcPr>
            <w:tcW w:w="3060" w:type="dxa"/>
            <w:hideMark/>
          </w:tcPr>
          <w:p w14:paraId="53B5AE7F" w14:textId="77777777" w:rsidR="00F74350" w:rsidRPr="00AD496E" w:rsidRDefault="00F74350" w:rsidP="00AD496E">
            <w:pPr>
              <w:overflowPunct w:val="0"/>
              <w:autoSpaceDE w:val="0"/>
              <w:autoSpaceDN w:val="0"/>
              <w:adjustRightInd w:val="0"/>
              <w:jc w:val="center"/>
              <w:textAlignment w:val="baseline"/>
              <w:rPr>
                <w:bCs/>
              </w:rPr>
            </w:pPr>
            <w:r w:rsidRPr="00AD496E">
              <w:rPr>
                <w:bCs/>
              </w:rPr>
              <w:t>100</w:t>
            </w:r>
          </w:p>
        </w:tc>
      </w:tr>
      <w:tr w:rsidR="00F74350" w14:paraId="534F8158" w14:textId="77777777" w:rsidTr="00AD496E">
        <w:tc>
          <w:tcPr>
            <w:tcW w:w="2250" w:type="dxa"/>
            <w:hideMark/>
          </w:tcPr>
          <w:p w14:paraId="5F0EFA91" w14:textId="77777777" w:rsidR="00F74350" w:rsidRPr="00AD496E" w:rsidRDefault="00F74350" w:rsidP="00AD496E">
            <w:pPr>
              <w:overflowPunct w:val="0"/>
              <w:autoSpaceDE w:val="0"/>
              <w:autoSpaceDN w:val="0"/>
              <w:adjustRightInd w:val="0"/>
              <w:jc w:val="center"/>
              <w:textAlignment w:val="baseline"/>
              <w:rPr>
                <w:bCs/>
              </w:rPr>
            </w:pPr>
            <w:r w:rsidRPr="00AD496E">
              <w:rPr>
                <w:bCs/>
              </w:rPr>
              <w:t>1/4 inch</w:t>
            </w:r>
          </w:p>
        </w:tc>
        <w:tc>
          <w:tcPr>
            <w:tcW w:w="3060" w:type="dxa"/>
            <w:hideMark/>
          </w:tcPr>
          <w:p w14:paraId="5CAF7CB1" w14:textId="77777777" w:rsidR="00F74350" w:rsidRPr="00AD496E" w:rsidRDefault="00F74350" w:rsidP="00AD496E">
            <w:pPr>
              <w:overflowPunct w:val="0"/>
              <w:autoSpaceDE w:val="0"/>
              <w:autoSpaceDN w:val="0"/>
              <w:adjustRightInd w:val="0"/>
              <w:jc w:val="center"/>
              <w:textAlignment w:val="baseline"/>
              <w:rPr>
                <w:bCs/>
              </w:rPr>
            </w:pPr>
            <w:r w:rsidRPr="00AD496E">
              <w:rPr>
                <w:bCs/>
              </w:rPr>
              <w:t>97 - 100</w:t>
            </w:r>
          </w:p>
        </w:tc>
      </w:tr>
      <w:tr w:rsidR="00F74350" w14:paraId="7A3F21AF" w14:textId="77777777" w:rsidTr="00AD496E">
        <w:tc>
          <w:tcPr>
            <w:tcW w:w="2250" w:type="dxa"/>
            <w:hideMark/>
          </w:tcPr>
          <w:p w14:paraId="2C21EE27" w14:textId="77777777" w:rsidR="00F74350" w:rsidRPr="00AD496E" w:rsidRDefault="00F74350" w:rsidP="00AD496E">
            <w:pPr>
              <w:overflowPunct w:val="0"/>
              <w:autoSpaceDE w:val="0"/>
              <w:autoSpaceDN w:val="0"/>
              <w:adjustRightInd w:val="0"/>
              <w:jc w:val="center"/>
              <w:textAlignment w:val="baseline"/>
              <w:rPr>
                <w:bCs/>
              </w:rPr>
            </w:pPr>
            <w:r w:rsidRPr="00AD496E">
              <w:rPr>
                <w:bCs/>
              </w:rPr>
              <w:t>No. 200</w:t>
            </w:r>
          </w:p>
        </w:tc>
        <w:tc>
          <w:tcPr>
            <w:tcW w:w="3060" w:type="dxa"/>
            <w:hideMark/>
          </w:tcPr>
          <w:p w14:paraId="2CBA1833" w14:textId="77777777" w:rsidR="00F74350" w:rsidRPr="00AD496E" w:rsidRDefault="00F74350" w:rsidP="00AD496E">
            <w:pPr>
              <w:overflowPunct w:val="0"/>
              <w:autoSpaceDE w:val="0"/>
              <w:autoSpaceDN w:val="0"/>
              <w:adjustRightInd w:val="0"/>
              <w:jc w:val="center"/>
              <w:textAlignment w:val="baseline"/>
              <w:rPr>
                <w:bCs/>
              </w:rPr>
            </w:pPr>
            <w:r w:rsidRPr="00AD496E">
              <w:rPr>
                <w:bCs/>
              </w:rPr>
              <w:t>20 - 65 (of the 1/4 inch sieve)</w:t>
            </w:r>
          </w:p>
        </w:tc>
      </w:tr>
    </w:tbl>
    <w:p w14:paraId="56710F50" w14:textId="77777777" w:rsidR="00F74350" w:rsidRDefault="00F74350" w:rsidP="00DA4692">
      <w:pPr>
        <w:pStyle w:val="SpecifierNote"/>
      </w:pPr>
      <w:r>
        <w:t>Five subparagraphs below are utilized in unit paver or porous unit paver applications. Delete if not used.</w:t>
      </w:r>
    </w:p>
    <w:p w14:paraId="4A655C8F" w14:textId="77777777" w:rsidR="00F74350" w:rsidRDefault="00F74350" w:rsidP="008103BC">
      <w:pPr>
        <w:pStyle w:val="PR1"/>
      </w:pPr>
      <w:r>
        <w:t>Sand Leveling Course:</w:t>
      </w:r>
    </w:p>
    <w:p w14:paraId="2D9CB464" w14:textId="584E4F6B" w:rsidR="00F74350" w:rsidRDefault="00F74350" w:rsidP="00DA4692">
      <w:pPr>
        <w:pStyle w:val="PR2"/>
        <w:contextualSpacing w:val="0"/>
      </w:pPr>
      <w:r>
        <w:t>Description: Sound, sharp, washed, natural sand or crushed stone complying with gradation requirements in ASTM C33 for fine aggregate.</w:t>
      </w:r>
    </w:p>
    <w:p w14:paraId="6FC11D04" w14:textId="77777777" w:rsidR="00F74350" w:rsidRDefault="00F74350" w:rsidP="008103BC">
      <w:pPr>
        <w:pStyle w:val="PR1"/>
      </w:pPr>
      <w:r>
        <w:t xml:space="preserve">Sand for Joints: </w:t>
      </w:r>
    </w:p>
    <w:p w14:paraId="5E832799" w14:textId="77777777" w:rsidR="00F74350" w:rsidRDefault="00F74350" w:rsidP="00DA4692">
      <w:pPr>
        <w:pStyle w:val="PR2"/>
        <w:contextualSpacing w:val="0"/>
      </w:pPr>
      <w:r>
        <w:t>Description: Fine, sharp, washed, natural sand or crushed stone</w:t>
      </w:r>
    </w:p>
    <w:p w14:paraId="6893103E" w14:textId="77777777" w:rsidR="00F74350" w:rsidRDefault="00F74350" w:rsidP="00DA4692">
      <w:pPr>
        <w:pStyle w:val="PR2"/>
        <w:spacing w:before="0" w:after="240"/>
        <w:contextualSpacing w:val="0"/>
      </w:pPr>
      <w:r w:rsidRPr="00D07330">
        <w:t>Comply with the gradation requirements specified below</w:t>
      </w:r>
      <w:r>
        <w:t>:</w:t>
      </w:r>
    </w:p>
    <w:tbl>
      <w:tblPr>
        <w:tblW w:w="0" w:type="auto"/>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214"/>
      </w:tblGrid>
      <w:tr w:rsidR="00F74350" w:rsidRPr="00D07330" w14:paraId="2E19087D" w14:textId="77777777" w:rsidTr="00ED5D8E">
        <w:trPr>
          <w:tblHeader/>
        </w:trPr>
        <w:tc>
          <w:tcPr>
            <w:tcW w:w="2214" w:type="dxa"/>
            <w:vAlign w:val="center"/>
          </w:tcPr>
          <w:p w14:paraId="6CE2F76F" w14:textId="77777777" w:rsidR="00F74350" w:rsidRPr="00D07330" w:rsidRDefault="00F74350" w:rsidP="00ED5D8E">
            <w:pPr>
              <w:overflowPunct w:val="0"/>
              <w:autoSpaceDE w:val="0"/>
              <w:autoSpaceDN w:val="0"/>
              <w:adjustRightInd w:val="0"/>
              <w:jc w:val="center"/>
              <w:textAlignment w:val="baseline"/>
              <w:rPr>
                <w:b/>
              </w:rPr>
            </w:pPr>
            <w:r w:rsidRPr="00D07330">
              <w:rPr>
                <w:b/>
              </w:rPr>
              <w:t>Sieve Size</w:t>
            </w:r>
          </w:p>
        </w:tc>
        <w:tc>
          <w:tcPr>
            <w:tcW w:w="2214" w:type="dxa"/>
            <w:vAlign w:val="center"/>
          </w:tcPr>
          <w:p w14:paraId="5A3B4027" w14:textId="77777777" w:rsidR="00F74350" w:rsidRPr="00D07330" w:rsidRDefault="00F74350" w:rsidP="00ED5D8E">
            <w:pPr>
              <w:overflowPunct w:val="0"/>
              <w:autoSpaceDE w:val="0"/>
              <w:autoSpaceDN w:val="0"/>
              <w:adjustRightInd w:val="0"/>
              <w:jc w:val="center"/>
              <w:textAlignment w:val="baseline"/>
            </w:pPr>
            <w:r w:rsidRPr="00D07330">
              <w:rPr>
                <w:b/>
              </w:rPr>
              <w:t>Percent Passing</w:t>
            </w:r>
          </w:p>
        </w:tc>
      </w:tr>
      <w:tr w:rsidR="00F74350" w:rsidRPr="00D07330" w14:paraId="26CF8279" w14:textId="77777777" w:rsidTr="00ED5D8E">
        <w:tc>
          <w:tcPr>
            <w:tcW w:w="2214" w:type="dxa"/>
            <w:vAlign w:val="center"/>
          </w:tcPr>
          <w:p w14:paraId="1167619B" w14:textId="77777777" w:rsidR="00F74350" w:rsidRPr="00D07330" w:rsidRDefault="00F74350" w:rsidP="00ED5D8E">
            <w:pPr>
              <w:overflowPunct w:val="0"/>
              <w:autoSpaceDE w:val="0"/>
              <w:autoSpaceDN w:val="0"/>
              <w:adjustRightInd w:val="0"/>
              <w:jc w:val="center"/>
              <w:textAlignment w:val="baseline"/>
            </w:pPr>
            <w:r>
              <w:t>No. 16</w:t>
            </w:r>
          </w:p>
        </w:tc>
        <w:tc>
          <w:tcPr>
            <w:tcW w:w="2214" w:type="dxa"/>
            <w:vAlign w:val="center"/>
          </w:tcPr>
          <w:p w14:paraId="461821A5" w14:textId="77777777" w:rsidR="00F74350" w:rsidRPr="00D07330" w:rsidRDefault="00F74350" w:rsidP="00ED5D8E">
            <w:pPr>
              <w:overflowPunct w:val="0"/>
              <w:autoSpaceDE w:val="0"/>
              <w:autoSpaceDN w:val="0"/>
              <w:adjustRightInd w:val="0"/>
              <w:jc w:val="center"/>
              <w:textAlignment w:val="baseline"/>
            </w:pPr>
            <w:r>
              <w:t>100</w:t>
            </w:r>
          </w:p>
        </w:tc>
      </w:tr>
      <w:tr w:rsidR="00F74350" w:rsidRPr="00D07330" w14:paraId="003F78C9" w14:textId="77777777" w:rsidTr="00ED5D8E">
        <w:tc>
          <w:tcPr>
            <w:tcW w:w="2214" w:type="dxa"/>
            <w:vAlign w:val="center"/>
          </w:tcPr>
          <w:p w14:paraId="01CD1309" w14:textId="77777777" w:rsidR="00F74350" w:rsidRPr="00D07330" w:rsidRDefault="00F74350" w:rsidP="00ED5D8E">
            <w:pPr>
              <w:overflowPunct w:val="0"/>
              <w:autoSpaceDE w:val="0"/>
              <w:autoSpaceDN w:val="0"/>
              <w:adjustRightInd w:val="0"/>
              <w:jc w:val="center"/>
              <w:textAlignment w:val="baseline"/>
            </w:pPr>
            <w:r>
              <w:t>No. 200</w:t>
            </w:r>
          </w:p>
        </w:tc>
        <w:tc>
          <w:tcPr>
            <w:tcW w:w="2214" w:type="dxa"/>
            <w:vAlign w:val="center"/>
          </w:tcPr>
          <w:p w14:paraId="335FE0CA" w14:textId="77777777" w:rsidR="00F74350" w:rsidRPr="00D07330" w:rsidRDefault="00F74350" w:rsidP="00ED5D8E">
            <w:pPr>
              <w:overflowPunct w:val="0"/>
              <w:autoSpaceDE w:val="0"/>
              <w:autoSpaceDN w:val="0"/>
              <w:adjustRightInd w:val="0"/>
              <w:jc w:val="center"/>
              <w:textAlignment w:val="baseline"/>
            </w:pPr>
            <w:r>
              <w:t>0-10</w:t>
            </w:r>
          </w:p>
        </w:tc>
      </w:tr>
    </w:tbl>
    <w:p w14:paraId="68EE6B54" w14:textId="77777777" w:rsidR="00F74350" w:rsidRPr="008C7389" w:rsidRDefault="00F74350" w:rsidP="00DA4692">
      <w:pPr>
        <w:pStyle w:val="SpecifierNote"/>
      </w:pPr>
      <w:r w:rsidRPr="004D7A2A">
        <w:t>Retain subparagraph below if a particular color is required.</w:t>
      </w:r>
    </w:p>
    <w:p w14:paraId="789ED6EA" w14:textId="77777777" w:rsidR="00F74350" w:rsidRDefault="00F74350" w:rsidP="00DA4692">
      <w:pPr>
        <w:pStyle w:val="PR2"/>
        <w:contextualSpacing w:val="0"/>
      </w:pPr>
      <w:r>
        <w:t>Provide sand of color needed to produce required joint color.</w:t>
      </w:r>
    </w:p>
    <w:p w14:paraId="00A7D01D" w14:textId="77777777" w:rsidR="00F74350" w:rsidRDefault="00F74350" w:rsidP="008103BC">
      <w:pPr>
        <w:pStyle w:val="PR1"/>
      </w:pPr>
      <w:r>
        <w:t>Soil Mix for Leveling Course:</w:t>
      </w:r>
    </w:p>
    <w:p w14:paraId="40E79AD0" w14:textId="27EBEC7B" w:rsidR="00F74350" w:rsidRDefault="00F74350" w:rsidP="00DA4692">
      <w:pPr>
        <w:pStyle w:val="PR2"/>
        <w:contextualSpacing w:val="0"/>
      </w:pPr>
      <w:r>
        <w:t>Description: Sound, sharp, washed, natural sand or crushed stone complying with gradation requirements in ASTM C33 for fine aggregate blended with planting soil. Use blend consisting of [</w:t>
      </w:r>
      <w:r>
        <w:rPr>
          <w:b/>
        </w:rPr>
        <w:t>1/2 sand and 1/2 planting soil mix</w:t>
      </w:r>
      <w:r>
        <w:t>] [</w:t>
      </w:r>
      <w:r>
        <w:rPr>
          <w:b/>
        </w:rPr>
        <w:t>2/3 sand and 1/3 planting soil mix</w:t>
      </w:r>
      <w:r>
        <w:t>] &lt;</w:t>
      </w:r>
      <w:r>
        <w:rPr>
          <w:b/>
        </w:rPr>
        <w:t>Insert proportions</w:t>
      </w:r>
      <w:r>
        <w:t>&gt;.</w:t>
      </w:r>
    </w:p>
    <w:p w14:paraId="140168A1" w14:textId="7FD88C20" w:rsidR="00F74350" w:rsidRDefault="00F74350" w:rsidP="00DA4692">
      <w:pPr>
        <w:pStyle w:val="SpecifierNote"/>
      </w:pPr>
      <w:r>
        <w:t>"Graded Aggregate " paragraph below is recommended instead of "Sand for Leveling Course" or "Soil Mix for Leveling Course" paragraph above for pavers used with aggregate fill. No. 8 stone is 1/2 inch and smaller; No. 9 is 3/8 inch and smaller.</w:t>
      </w:r>
    </w:p>
    <w:p w14:paraId="1517B584" w14:textId="77777777" w:rsidR="00F74350" w:rsidRDefault="00F74350" w:rsidP="008103BC">
      <w:pPr>
        <w:pStyle w:val="PR1"/>
      </w:pPr>
      <w:r>
        <w:t xml:space="preserve">Graded Aggregate: </w:t>
      </w:r>
    </w:p>
    <w:p w14:paraId="499B584D" w14:textId="77777777" w:rsidR="00F74350" w:rsidRDefault="00F74350" w:rsidP="00DA4692">
      <w:pPr>
        <w:pStyle w:val="PR2"/>
        <w:contextualSpacing w:val="0"/>
      </w:pPr>
      <w:r>
        <w:t>Description: Sound crushed stone or gravel complying with ASTM D448 for Size No. [</w:t>
      </w:r>
      <w:r w:rsidRPr="008103BC">
        <w:rPr>
          <w:b/>
        </w:rPr>
        <w:t>8</w:t>
      </w:r>
      <w:r>
        <w:t>] [</w:t>
      </w:r>
      <w:r w:rsidRPr="008103BC">
        <w:rPr>
          <w:b/>
        </w:rPr>
        <w:t>9</w:t>
      </w:r>
      <w:r>
        <w:t>].</w:t>
      </w:r>
    </w:p>
    <w:p w14:paraId="67976985" w14:textId="31849339" w:rsidR="00F74350" w:rsidRDefault="00F74350" w:rsidP="00DA4692">
      <w:pPr>
        <w:pStyle w:val="SpecifierNote"/>
      </w:pPr>
      <w:r>
        <w:t>Retain "Color" subparagraph below if a particular color is required.</w:t>
      </w:r>
    </w:p>
    <w:p w14:paraId="36B81492" w14:textId="77777777" w:rsidR="00F74350" w:rsidRDefault="00F74350" w:rsidP="00F74350">
      <w:pPr>
        <w:pStyle w:val="PR2"/>
        <w:spacing w:before="0"/>
        <w:contextualSpacing w:val="0"/>
      </w:pPr>
      <w:r>
        <w:t xml:space="preserve">Color: </w:t>
      </w:r>
      <w:r w:rsidRPr="004D7A2A">
        <w:t>As indicated</w:t>
      </w:r>
      <w:r>
        <w:t>.</w:t>
      </w:r>
    </w:p>
    <w:p w14:paraId="63D9DBC4" w14:textId="4610C541" w:rsidR="00F74350" w:rsidRDefault="00F74350" w:rsidP="00F66701">
      <w:pPr>
        <w:pStyle w:val="ART"/>
      </w:pPr>
      <w:r>
        <w:t>Geosynthetics</w:t>
      </w:r>
    </w:p>
    <w:p w14:paraId="37D0E80A" w14:textId="12E0444E" w:rsidR="00F74350" w:rsidRDefault="00F74350" w:rsidP="002138FB">
      <w:pPr>
        <w:pStyle w:val="PR1"/>
      </w:pPr>
      <w:r>
        <w:t>Geotextile:</w:t>
      </w:r>
    </w:p>
    <w:p w14:paraId="64628872" w14:textId="77777777" w:rsidR="00F74350" w:rsidRDefault="00F74350" w:rsidP="00DA4692">
      <w:pPr>
        <w:pStyle w:val="PR2"/>
        <w:contextualSpacing w:val="0"/>
      </w:pPr>
      <w:r>
        <w:t xml:space="preserve">Drainage and Erosion Control: </w:t>
      </w:r>
    </w:p>
    <w:p w14:paraId="33195BD3" w14:textId="77777777" w:rsidR="00F74350" w:rsidRDefault="00F74350" w:rsidP="00DA4692">
      <w:pPr>
        <w:pStyle w:val="PR3"/>
        <w:contextualSpacing w:val="0"/>
      </w:pPr>
      <w:r>
        <w:t>Mirafi 140N &amp; 160N</w:t>
      </w:r>
    </w:p>
    <w:p w14:paraId="6EE48265" w14:textId="40A92500" w:rsidR="00F74350" w:rsidRDefault="00F74350" w:rsidP="00F74350">
      <w:pPr>
        <w:pStyle w:val="PR3"/>
        <w:spacing w:before="0"/>
        <w:contextualSpacing w:val="0"/>
      </w:pPr>
      <w:r>
        <w:t>WINFAB 450N &amp; 600N</w:t>
      </w:r>
    </w:p>
    <w:p w14:paraId="4F6B473D" w14:textId="33FD4179" w:rsidR="00F74350" w:rsidRDefault="00F74350" w:rsidP="00F74350">
      <w:pPr>
        <w:pStyle w:val="PR3"/>
        <w:spacing w:before="0"/>
        <w:contextualSpacing w:val="0"/>
      </w:pPr>
      <w:r>
        <w:t>US Fabrics US 120NW &amp; US 160NW</w:t>
      </w:r>
    </w:p>
    <w:p w14:paraId="6198D463" w14:textId="2D11C01A" w:rsidR="00F74350" w:rsidRDefault="00F74350" w:rsidP="00F74350">
      <w:pPr>
        <w:pStyle w:val="PR3"/>
        <w:spacing w:before="0"/>
        <w:contextualSpacing w:val="0"/>
      </w:pPr>
      <w:r>
        <w:t>Approved equivalent.</w:t>
      </w:r>
    </w:p>
    <w:p w14:paraId="3F18C304" w14:textId="77777777" w:rsidR="00F74350" w:rsidRDefault="00F74350" w:rsidP="00DA4692">
      <w:pPr>
        <w:pStyle w:val="PR2"/>
        <w:contextualSpacing w:val="0"/>
      </w:pPr>
      <w:r>
        <w:t xml:space="preserve">Separation for foundation drains, underdrains, undercuts:  </w:t>
      </w:r>
    </w:p>
    <w:p w14:paraId="0621C3CA" w14:textId="77777777" w:rsidR="00F74350" w:rsidRDefault="00F74350" w:rsidP="00DA4692">
      <w:pPr>
        <w:pStyle w:val="PR3"/>
        <w:contextualSpacing w:val="0"/>
      </w:pPr>
      <w:r>
        <w:t>GeoTex 601 and 801</w:t>
      </w:r>
    </w:p>
    <w:p w14:paraId="5860C0B9" w14:textId="77777777" w:rsidR="00F74350" w:rsidRDefault="00F74350" w:rsidP="00F74350">
      <w:pPr>
        <w:pStyle w:val="PR3"/>
        <w:spacing w:before="0"/>
        <w:contextualSpacing w:val="0"/>
      </w:pPr>
      <w:r>
        <w:t>Mirafi 160N &amp; 180N</w:t>
      </w:r>
    </w:p>
    <w:p w14:paraId="12CE56B8" w14:textId="77777777" w:rsidR="00F74350" w:rsidRDefault="00F74350" w:rsidP="00F74350">
      <w:pPr>
        <w:pStyle w:val="PR3"/>
        <w:spacing w:before="0"/>
        <w:contextualSpacing w:val="0"/>
      </w:pPr>
      <w:r>
        <w:t>WINFAB 600N &amp; 800N</w:t>
      </w:r>
    </w:p>
    <w:p w14:paraId="10E19EB3" w14:textId="6F341352" w:rsidR="00F74350" w:rsidRDefault="00F74350" w:rsidP="00F74350">
      <w:pPr>
        <w:pStyle w:val="PR3"/>
        <w:spacing w:before="0"/>
        <w:contextualSpacing w:val="0"/>
      </w:pPr>
      <w:r>
        <w:t>Approved equivalent.</w:t>
      </w:r>
    </w:p>
    <w:p w14:paraId="3A91E1F0" w14:textId="77777777" w:rsidR="00F74350" w:rsidRDefault="00F74350" w:rsidP="00DA4692">
      <w:pPr>
        <w:pStyle w:val="SpecifierNote"/>
      </w:pPr>
      <w:r w:rsidRPr="00F66701">
        <w:t>Designer shall note that although filter fabric does offer some additional strength to the existing subgrade the strength it offers is usually temporary and it is not the intended use of fabrics.  If a subgrade soil is very soft, the designer shall incorporate a thicker</w:t>
      </w:r>
      <w:r>
        <w:t xml:space="preserve"> subbase course or shall place a geogrid type material in addition to the fabric.  Consult Soils Engineer if soft subgrade conditions exist.</w:t>
      </w:r>
      <w:r>
        <w:tab/>
      </w:r>
    </w:p>
    <w:p w14:paraId="099594C6" w14:textId="77777777" w:rsidR="00F74350" w:rsidRDefault="00F74350" w:rsidP="00DA4692">
      <w:pPr>
        <w:pStyle w:val="PR2"/>
        <w:contextualSpacing w:val="0"/>
      </w:pPr>
      <w:r>
        <w:t xml:space="preserve">Separation/Stabilization beneath pavements and riprap:  </w:t>
      </w:r>
    </w:p>
    <w:p w14:paraId="4A792893" w14:textId="77777777" w:rsidR="00F74350" w:rsidRDefault="00F74350" w:rsidP="00DA4692">
      <w:pPr>
        <w:pStyle w:val="PR3"/>
        <w:contextualSpacing w:val="0"/>
      </w:pPr>
      <w:r>
        <w:t>Geotex 4x4</w:t>
      </w:r>
    </w:p>
    <w:p w14:paraId="25167588" w14:textId="77777777" w:rsidR="00F74350" w:rsidRDefault="00F74350" w:rsidP="00F74350">
      <w:pPr>
        <w:pStyle w:val="PR3"/>
        <w:spacing w:before="0"/>
        <w:contextualSpacing w:val="0"/>
      </w:pPr>
      <w:r>
        <w:t>Mirafi HP570</w:t>
      </w:r>
    </w:p>
    <w:p w14:paraId="69A7ABFC" w14:textId="77777777" w:rsidR="00F74350" w:rsidRDefault="00F74350" w:rsidP="00F74350">
      <w:pPr>
        <w:pStyle w:val="PR3"/>
        <w:spacing w:before="0"/>
        <w:contextualSpacing w:val="0"/>
      </w:pPr>
      <w:r>
        <w:t>US Fabrics US 4800/30</w:t>
      </w:r>
    </w:p>
    <w:p w14:paraId="500BC80F" w14:textId="37596088" w:rsidR="00F74350" w:rsidRPr="002138FB" w:rsidRDefault="00F74350" w:rsidP="00F74350">
      <w:pPr>
        <w:pStyle w:val="PR3"/>
        <w:spacing w:before="0"/>
        <w:contextualSpacing w:val="0"/>
      </w:pPr>
      <w:r>
        <w:t>Approved equivalent.</w:t>
      </w:r>
    </w:p>
    <w:p w14:paraId="6F06C8A1" w14:textId="77777777" w:rsidR="00F74350" w:rsidRDefault="00F74350" w:rsidP="00DA4692">
      <w:pPr>
        <w:pStyle w:val="SpecifierNote"/>
      </w:pPr>
      <w:r w:rsidRPr="00F66701">
        <w:t xml:space="preserve">If segmental retaining walls are specified or if soft subgrades exist consult soils engineer to specify </w:t>
      </w:r>
      <w:r>
        <w:t>geo</w:t>
      </w:r>
      <w:r w:rsidRPr="00F66701">
        <w:t>grid type.</w:t>
      </w:r>
    </w:p>
    <w:p w14:paraId="724BB8E1" w14:textId="77777777" w:rsidR="00F74350" w:rsidRDefault="00F74350" w:rsidP="002138FB">
      <w:pPr>
        <w:pStyle w:val="PR1"/>
      </w:pPr>
      <w:r>
        <w:t>Geogrids:</w:t>
      </w:r>
    </w:p>
    <w:p w14:paraId="5E007B42" w14:textId="77777777" w:rsidR="00F74350" w:rsidRDefault="00F74350" w:rsidP="00DA4692">
      <w:pPr>
        <w:pStyle w:val="PR2"/>
        <w:contextualSpacing w:val="0"/>
      </w:pPr>
      <w:r>
        <w:t>Segmental Retaining Walls.</w:t>
      </w:r>
    </w:p>
    <w:p w14:paraId="538585FE" w14:textId="77777777" w:rsidR="00F74350" w:rsidRDefault="00F74350" w:rsidP="00F74350">
      <w:pPr>
        <w:pStyle w:val="PR2"/>
        <w:spacing w:before="0"/>
        <w:contextualSpacing w:val="0"/>
      </w:pPr>
      <w:r>
        <w:t>Subgrade Stabilization.</w:t>
      </w:r>
    </w:p>
    <w:p w14:paraId="6C47453B" w14:textId="77777777" w:rsidR="00F74350" w:rsidRDefault="00F74350" w:rsidP="001D1756">
      <w:pPr>
        <w:pStyle w:val="ART"/>
      </w:pPr>
      <w:r>
        <w:t>GEOFOAM</w:t>
      </w:r>
    </w:p>
    <w:p w14:paraId="0537E7D1" w14:textId="77777777" w:rsidR="00F74350" w:rsidRDefault="00F74350" w:rsidP="00DA4692">
      <w:pPr>
        <w:pStyle w:val="SpecifierNote"/>
      </w:pPr>
      <w:r>
        <w:t>Retain one or more paragraphs in this article to suit Project.</w:t>
      </w:r>
    </w:p>
    <w:p w14:paraId="4CC4E84F" w14:textId="77777777" w:rsidR="00F74350" w:rsidRDefault="00F74350" w:rsidP="00DA4692">
      <w:pPr>
        <w:pStyle w:val="SpecifierNote"/>
      </w:pPr>
      <w:r>
        <w:t>Compressive strengths in "Extruded-Polystyrene Board Insulation" and "Molded-Polystyrene Board Insulation" paragraphs below are the compressive resistance at 10 percent deformation according to ASTM C578. Verify availability of type of insulation.</w:t>
      </w:r>
    </w:p>
    <w:p w14:paraId="3910FF0F" w14:textId="77777777" w:rsidR="00F74350" w:rsidRPr="00D9425C" w:rsidRDefault="00F74350" w:rsidP="001D1756">
      <w:pPr>
        <w:pStyle w:val="PR1"/>
      </w:pPr>
      <w:r>
        <w:t xml:space="preserve">Extruded-Polystyrene Board </w:t>
      </w:r>
      <w:r w:rsidRPr="00D9425C">
        <w:t>Insulation: ASTM C578, [</w:t>
      </w:r>
      <w:r w:rsidRPr="00D9425C">
        <w:rPr>
          <w:b/>
        </w:rPr>
        <w:t xml:space="preserve">Type IV, </w:t>
      </w:r>
      <w:r w:rsidRPr="00DA4692">
        <w:rPr>
          <w:rStyle w:val="IP"/>
          <w:b/>
          <w:color w:val="auto"/>
        </w:rPr>
        <w:t>1.55-lb/cu. ft.</w:t>
      </w:r>
      <w:r w:rsidRPr="00DA4692">
        <w:rPr>
          <w:rStyle w:val="SI"/>
          <w:b/>
          <w:color w:val="auto"/>
        </w:rPr>
        <w:t xml:space="preserve"> </w:t>
      </w:r>
      <w:r w:rsidRPr="00D9425C">
        <w:rPr>
          <w:b/>
        </w:rPr>
        <w:t xml:space="preserve">density, </w:t>
      </w:r>
      <w:r w:rsidRPr="00DA4692">
        <w:rPr>
          <w:rStyle w:val="IP"/>
          <w:b/>
          <w:color w:val="auto"/>
        </w:rPr>
        <w:t>25-psi</w:t>
      </w:r>
      <w:r w:rsidRPr="00DA4692">
        <w:rPr>
          <w:rStyle w:val="SI"/>
          <w:b/>
          <w:color w:val="auto"/>
        </w:rPr>
        <w:t xml:space="preserve"> </w:t>
      </w:r>
      <w:r w:rsidRPr="00D9425C">
        <w:rPr>
          <w:b/>
        </w:rPr>
        <w:t>compressive strength</w:t>
      </w:r>
      <w:r w:rsidRPr="00D9425C">
        <w:t>] [</w:t>
      </w:r>
      <w:r w:rsidRPr="00D9425C">
        <w:rPr>
          <w:b/>
        </w:rPr>
        <w:t xml:space="preserve">Type X, </w:t>
      </w:r>
      <w:r w:rsidRPr="00DA4692">
        <w:rPr>
          <w:rStyle w:val="IP"/>
          <w:b/>
          <w:color w:val="auto"/>
        </w:rPr>
        <w:t>1.30-lb/cu. ft.</w:t>
      </w:r>
      <w:r w:rsidRPr="00DA4692">
        <w:rPr>
          <w:rStyle w:val="SI"/>
          <w:b/>
          <w:color w:val="auto"/>
        </w:rPr>
        <w:t xml:space="preserve"> </w:t>
      </w:r>
      <w:r w:rsidRPr="00D9425C">
        <w:rPr>
          <w:b/>
        </w:rPr>
        <w:t xml:space="preserve">density, </w:t>
      </w:r>
      <w:r w:rsidRPr="00DA4692">
        <w:rPr>
          <w:rStyle w:val="IP"/>
          <w:b/>
          <w:color w:val="auto"/>
        </w:rPr>
        <w:t>15-psi</w:t>
      </w:r>
      <w:r w:rsidRPr="00DA4692">
        <w:rPr>
          <w:rStyle w:val="SI"/>
          <w:b/>
          <w:color w:val="auto"/>
        </w:rPr>
        <w:t xml:space="preserve"> </w:t>
      </w:r>
      <w:r w:rsidRPr="00D9425C">
        <w:rPr>
          <w:b/>
        </w:rPr>
        <w:t>compressive strength</w:t>
      </w:r>
      <w:r w:rsidRPr="00D9425C">
        <w:t>] [</w:t>
      </w:r>
      <w:r w:rsidRPr="00D9425C">
        <w:rPr>
          <w:b/>
        </w:rPr>
        <w:t xml:space="preserve">Type VI, </w:t>
      </w:r>
      <w:r w:rsidRPr="00DA4692">
        <w:rPr>
          <w:rStyle w:val="IP"/>
          <w:b/>
          <w:color w:val="auto"/>
        </w:rPr>
        <w:t>1.80-lb/cu. ft.</w:t>
      </w:r>
      <w:r w:rsidRPr="00DA4692">
        <w:rPr>
          <w:rStyle w:val="SI"/>
          <w:b/>
          <w:color w:val="auto"/>
        </w:rPr>
        <w:t xml:space="preserve"> </w:t>
      </w:r>
      <w:r w:rsidRPr="00D9425C">
        <w:rPr>
          <w:b/>
        </w:rPr>
        <w:t xml:space="preserve">density, </w:t>
      </w:r>
      <w:r w:rsidRPr="00DA4692">
        <w:rPr>
          <w:rStyle w:val="IP"/>
          <w:b/>
          <w:color w:val="auto"/>
        </w:rPr>
        <w:t>40-psi</w:t>
      </w:r>
      <w:r w:rsidRPr="00DA4692">
        <w:rPr>
          <w:rStyle w:val="SI"/>
          <w:b/>
          <w:color w:val="auto"/>
        </w:rPr>
        <w:t xml:space="preserve"> </w:t>
      </w:r>
      <w:r w:rsidRPr="00D9425C">
        <w:rPr>
          <w:b/>
        </w:rPr>
        <w:t>compressive strength</w:t>
      </w:r>
      <w:r w:rsidRPr="00D9425C">
        <w:t>] [</w:t>
      </w:r>
      <w:r w:rsidRPr="00D9425C">
        <w:rPr>
          <w:b/>
        </w:rPr>
        <w:t xml:space="preserve">Type VII, </w:t>
      </w:r>
      <w:r w:rsidRPr="00DA4692">
        <w:rPr>
          <w:rStyle w:val="IP"/>
          <w:b/>
          <w:color w:val="auto"/>
        </w:rPr>
        <w:t>2.20-lb/cu. ft.</w:t>
      </w:r>
      <w:r w:rsidRPr="00DA4692">
        <w:rPr>
          <w:rStyle w:val="SI"/>
          <w:b/>
          <w:color w:val="auto"/>
        </w:rPr>
        <w:t xml:space="preserve"> </w:t>
      </w:r>
      <w:r>
        <w:rPr>
          <w:b/>
        </w:rPr>
        <w:t>density</w:t>
      </w:r>
      <w:r w:rsidRPr="00D9425C">
        <w:rPr>
          <w:b/>
        </w:rPr>
        <w:t xml:space="preserve">, </w:t>
      </w:r>
      <w:r w:rsidRPr="00DA4692">
        <w:rPr>
          <w:rStyle w:val="IP"/>
          <w:b/>
          <w:color w:val="auto"/>
        </w:rPr>
        <w:t>60-psi</w:t>
      </w:r>
      <w:r w:rsidRPr="00DA4692">
        <w:rPr>
          <w:rStyle w:val="SI"/>
          <w:b/>
          <w:color w:val="auto"/>
        </w:rPr>
        <w:t xml:space="preserve"> </w:t>
      </w:r>
      <w:r w:rsidRPr="00D9425C">
        <w:rPr>
          <w:b/>
        </w:rPr>
        <w:t>compressive strength</w:t>
      </w:r>
      <w:r w:rsidRPr="00D9425C">
        <w:t>] [</w:t>
      </w:r>
      <w:r w:rsidRPr="00D9425C">
        <w:rPr>
          <w:b/>
        </w:rPr>
        <w:t xml:space="preserve">Type V, </w:t>
      </w:r>
      <w:r w:rsidRPr="00DA4692">
        <w:rPr>
          <w:rStyle w:val="IP"/>
          <w:b/>
          <w:color w:val="auto"/>
        </w:rPr>
        <w:t>3.00-lb/cu. ft.</w:t>
      </w:r>
      <w:r w:rsidRPr="00DA4692">
        <w:rPr>
          <w:rStyle w:val="SI"/>
          <w:b/>
          <w:color w:val="auto"/>
        </w:rPr>
        <w:t xml:space="preserve"> </w:t>
      </w:r>
      <w:r w:rsidRPr="00D9425C">
        <w:rPr>
          <w:b/>
        </w:rPr>
        <w:t xml:space="preserve">density, </w:t>
      </w:r>
      <w:r w:rsidRPr="00DA4692">
        <w:rPr>
          <w:rStyle w:val="IP"/>
          <w:b/>
          <w:color w:val="auto"/>
        </w:rPr>
        <w:t>100-psi</w:t>
      </w:r>
      <w:r w:rsidRPr="00DA4692">
        <w:rPr>
          <w:rStyle w:val="SI"/>
          <w:b/>
          <w:color w:val="auto"/>
        </w:rPr>
        <w:t xml:space="preserve"> </w:t>
      </w:r>
      <w:r w:rsidRPr="00D9425C">
        <w:rPr>
          <w:b/>
        </w:rPr>
        <w:t>compressive strength</w:t>
      </w:r>
      <w:r w:rsidRPr="00D9425C">
        <w:t>].</w:t>
      </w:r>
    </w:p>
    <w:p w14:paraId="5C15AC8D" w14:textId="77777777" w:rsidR="00F74350" w:rsidRPr="00D9425C" w:rsidRDefault="00F74350" w:rsidP="001D1756">
      <w:pPr>
        <w:pStyle w:val="PR1"/>
      </w:pPr>
      <w:r w:rsidRPr="00D9425C">
        <w:t>Molded-Polystyrene Board Insulation: ASTM C578, [</w:t>
      </w:r>
      <w:r w:rsidRPr="00D9425C">
        <w:rPr>
          <w:b/>
        </w:rPr>
        <w:t xml:space="preserve">Type I, </w:t>
      </w:r>
      <w:r w:rsidRPr="00DA4692">
        <w:rPr>
          <w:rStyle w:val="IP"/>
          <w:b/>
          <w:color w:val="auto"/>
        </w:rPr>
        <w:t>0.90-lb/cu. ft.</w:t>
      </w:r>
      <w:r w:rsidRPr="00DA4692">
        <w:rPr>
          <w:rStyle w:val="SI"/>
          <w:b/>
          <w:color w:val="auto"/>
        </w:rPr>
        <w:t xml:space="preserve"> </w:t>
      </w:r>
      <w:r w:rsidRPr="00D9425C">
        <w:rPr>
          <w:b/>
        </w:rPr>
        <w:t xml:space="preserve">density, </w:t>
      </w:r>
      <w:r w:rsidRPr="00DA4692">
        <w:rPr>
          <w:rStyle w:val="IP"/>
          <w:b/>
          <w:color w:val="auto"/>
        </w:rPr>
        <w:t>10-psi</w:t>
      </w:r>
      <w:r w:rsidRPr="00DA4692">
        <w:rPr>
          <w:rStyle w:val="SI"/>
          <w:b/>
          <w:color w:val="auto"/>
        </w:rPr>
        <w:t xml:space="preserve"> </w:t>
      </w:r>
      <w:r w:rsidRPr="00D9425C">
        <w:rPr>
          <w:b/>
        </w:rPr>
        <w:t>compressive strength</w:t>
      </w:r>
      <w:r w:rsidRPr="00D9425C">
        <w:t>] [</w:t>
      </w:r>
      <w:r w:rsidRPr="00D9425C">
        <w:rPr>
          <w:b/>
        </w:rPr>
        <w:t xml:space="preserve">Type VIII, </w:t>
      </w:r>
      <w:r w:rsidRPr="00DA4692">
        <w:rPr>
          <w:rStyle w:val="IP"/>
          <w:b/>
          <w:color w:val="auto"/>
        </w:rPr>
        <w:t>1.15-lb/cu. ft.</w:t>
      </w:r>
      <w:r w:rsidRPr="00DA4692">
        <w:rPr>
          <w:rStyle w:val="SI"/>
          <w:b/>
          <w:color w:val="auto"/>
        </w:rPr>
        <w:t xml:space="preserve"> </w:t>
      </w:r>
      <w:r w:rsidRPr="00D9425C">
        <w:rPr>
          <w:b/>
        </w:rPr>
        <w:t xml:space="preserve">density, </w:t>
      </w:r>
      <w:r w:rsidRPr="00DA4692">
        <w:rPr>
          <w:rStyle w:val="IP"/>
          <w:b/>
          <w:color w:val="auto"/>
        </w:rPr>
        <w:t>13-psi</w:t>
      </w:r>
      <w:r w:rsidRPr="00DA4692">
        <w:rPr>
          <w:rStyle w:val="SI"/>
          <w:b/>
          <w:color w:val="auto"/>
        </w:rPr>
        <w:t xml:space="preserve"> </w:t>
      </w:r>
      <w:r w:rsidRPr="00D9425C">
        <w:rPr>
          <w:b/>
        </w:rPr>
        <w:t>compressive strength</w:t>
      </w:r>
      <w:r w:rsidRPr="00D9425C">
        <w:t>] [</w:t>
      </w:r>
      <w:r w:rsidRPr="00D9425C">
        <w:rPr>
          <w:b/>
        </w:rPr>
        <w:t xml:space="preserve">Type II, </w:t>
      </w:r>
      <w:r w:rsidRPr="00DA4692">
        <w:rPr>
          <w:rStyle w:val="IP"/>
          <w:b/>
          <w:color w:val="auto"/>
        </w:rPr>
        <w:t>1.35-lb/cu. ft.</w:t>
      </w:r>
      <w:r w:rsidRPr="00DA4692">
        <w:rPr>
          <w:rStyle w:val="SI"/>
          <w:b/>
          <w:color w:val="auto"/>
        </w:rPr>
        <w:t xml:space="preserve"> </w:t>
      </w:r>
      <w:r w:rsidRPr="00D9425C">
        <w:rPr>
          <w:b/>
        </w:rPr>
        <w:t xml:space="preserve">density, </w:t>
      </w:r>
      <w:r w:rsidRPr="00DA4692">
        <w:rPr>
          <w:rStyle w:val="IP"/>
          <w:b/>
          <w:color w:val="auto"/>
        </w:rPr>
        <w:t>15-psi</w:t>
      </w:r>
      <w:r w:rsidRPr="00DA4692">
        <w:rPr>
          <w:rStyle w:val="SI"/>
          <w:b/>
          <w:color w:val="auto"/>
        </w:rPr>
        <w:t xml:space="preserve"> </w:t>
      </w:r>
      <w:r w:rsidRPr="00D9425C">
        <w:rPr>
          <w:b/>
        </w:rPr>
        <w:t>compressive strength</w:t>
      </w:r>
      <w:r w:rsidRPr="00D9425C">
        <w:t>].</w:t>
      </w:r>
    </w:p>
    <w:p w14:paraId="46898FB7" w14:textId="77777777" w:rsidR="00F74350" w:rsidRDefault="00F74350" w:rsidP="00DA4692">
      <w:pPr>
        <w:pStyle w:val="SpecifierNote"/>
      </w:pPr>
      <w:r>
        <w:t>Retain subparagraph below if requiring molded polystyrene to deter termites.</w:t>
      </w:r>
    </w:p>
    <w:p w14:paraId="265B27F0" w14:textId="77777777" w:rsidR="00F74350" w:rsidRDefault="00F74350" w:rsidP="001D1756">
      <w:pPr>
        <w:pStyle w:val="PR2"/>
        <w:contextualSpacing w:val="0"/>
      </w:pPr>
      <w:r>
        <w:t>Manufacture molded polystyrene with an inorganic mineral registered with the EPA and suitable for application as a termite deterrent.</w:t>
      </w:r>
    </w:p>
    <w:p w14:paraId="1217EE78" w14:textId="77777777" w:rsidR="00F74350" w:rsidRDefault="00F74350" w:rsidP="00DA4692">
      <w:pPr>
        <w:pStyle w:val="SpecifierNote"/>
      </w:pPr>
      <w:r>
        <w:t>AFM Corporation, and perhaps other manufacturers, offer products that meet requirements in first paragraph below. ASTM D6817 lists compressive resistances at 1, 5, and 10 percent deformation.</w:t>
      </w:r>
    </w:p>
    <w:p w14:paraId="3B2421A0" w14:textId="77777777" w:rsidR="00F74350" w:rsidRPr="00D9425C" w:rsidRDefault="00F74350" w:rsidP="001D1756">
      <w:pPr>
        <w:pStyle w:val="PR1"/>
      </w:pPr>
      <w:r w:rsidRPr="00D9425C">
        <w:t>Rigid Cellular Polystyrene Geofoam: ASTM D6817, [</w:t>
      </w:r>
      <w:r w:rsidRPr="00D9425C">
        <w:rPr>
          <w:b/>
        </w:rPr>
        <w:t xml:space="preserve">Type EPS 19, </w:t>
      </w:r>
      <w:r w:rsidRPr="00DA4692">
        <w:rPr>
          <w:rStyle w:val="IP"/>
          <w:b/>
          <w:color w:val="auto"/>
        </w:rPr>
        <w:t>1.15-lb/cu. ft.</w:t>
      </w:r>
      <w:r w:rsidRPr="00DA4692">
        <w:rPr>
          <w:rStyle w:val="SI"/>
          <w:b/>
          <w:color w:val="auto"/>
        </w:rPr>
        <w:t xml:space="preserve"> </w:t>
      </w:r>
      <w:r w:rsidRPr="00D9425C">
        <w:rPr>
          <w:b/>
        </w:rPr>
        <w:t xml:space="preserve">density, </w:t>
      </w:r>
      <w:r w:rsidRPr="00DA4692">
        <w:rPr>
          <w:rStyle w:val="IP"/>
          <w:b/>
          <w:color w:val="auto"/>
        </w:rPr>
        <w:t>5.8-psi</w:t>
      </w:r>
      <w:r w:rsidRPr="00DA4692">
        <w:rPr>
          <w:rStyle w:val="SI"/>
          <w:b/>
          <w:color w:val="auto"/>
        </w:rPr>
        <w:t xml:space="preserve"> </w:t>
      </w:r>
      <w:r w:rsidRPr="00D9425C">
        <w:rPr>
          <w:b/>
        </w:rPr>
        <w:t xml:space="preserve">compressive strength at 1 percent deformation; </w:t>
      </w:r>
      <w:r w:rsidRPr="00DA4692">
        <w:rPr>
          <w:rStyle w:val="IP"/>
          <w:b/>
          <w:color w:val="auto"/>
        </w:rPr>
        <w:t>16-psi</w:t>
      </w:r>
      <w:r w:rsidRPr="00DA4692">
        <w:rPr>
          <w:rStyle w:val="SI"/>
          <w:b/>
          <w:color w:val="auto"/>
        </w:rPr>
        <w:t xml:space="preserve"> </w:t>
      </w:r>
      <w:r w:rsidRPr="00D9425C">
        <w:rPr>
          <w:b/>
        </w:rPr>
        <w:t>compressive strength at 10 percent deformation</w:t>
      </w:r>
      <w:r w:rsidRPr="00D9425C">
        <w:t>] [</w:t>
      </w:r>
      <w:r w:rsidRPr="00D9425C">
        <w:rPr>
          <w:b/>
        </w:rPr>
        <w:t xml:space="preserve">Type EPS 39, </w:t>
      </w:r>
      <w:r w:rsidRPr="00DA4692">
        <w:rPr>
          <w:rStyle w:val="IP"/>
          <w:b/>
          <w:color w:val="auto"/>
        </w:rPr>
        <w:t>2.40-lb/cu. ft.</w:t>
      </w:r>
      <w:r w:rsidRPr="00DA4692">
        <w:rPr>
          <w:rStyle w:val="SI"/>
          <w:b/>
          <w:color w:val="auto"/>
        </w:rPr>
        <w:t xml:space="preserve"> </w:t>
      </w:r>
      <w:r w:rsidRPr="00D9425C">
        <w:rPr>
          <w:b/>
        </w:rPr>
        <w:t xml:space="preserve">density, </w:t>
      </w:r>
      <w:r w:rsidRPr="00DA4692">
        <w:rPr>
          <w:rStyle w:val="IP"/>
          <w:b/>
          <w:color w:val="auto"/>
        </w:rPr>
        <w:t>15-psi</w:t>
      </w:r>
      <w:r w:rsidRPr="00DA4692">
        <w:rPr>
          <w:rStyle w:val="SI"/>
          <w:b/>
          <w:color w:val="auto"/>
        </w:rPr>
        <w:t xml:space="preserve"> </w:t>
      </w:r>
      <w:r w:rsidRPr="00D9425C">
        <w:rPr>
          <w:b/>
        </w:rPr>
        <w:t xml:space="preserve">compressive strength at 1 percent deformation; </w:t>
      </w:r>
      <w:r w:rsidRPr="00DA4692">
        <w:rPr>
          <w:rStyle w:val="IP"/>
          <w:b/>
          <w:color w:val="auto"/>
        </w:rPr>
        <w:t>40-psi</w:t>
      </w:r>
      <w:r w:rsidRPr="00DA4692">
        <w:rPr>
          <w:rStyle w:val="SI"/>
          <w:b/>
          <w:color w:val="auto"/>
        </w:rPr>
        <w:t xml:space="preserve"> </w:t>
      </w:r>
      <w:r w:rsidRPr="00D9425C">
        <w:rPr>
          <w:b/>
        </w:rPr>
        <w:t>compressive strength at 10 percent deformation</w:t>
      </w:r>
      <w:r w:rsidRPr="00D9425C">
        <w:t>] &lt;</w:t>
      </w:r>
      <w:r w:rsidRPr="00D9425C">
        <w:rPr>
          <w:b/>
        </w:rPr>
        <w:t>Insert requirement</w:t>
      </w:r>
      <w:r w:rsidRPr="00D9425C">
        <w:t>&gt;.</w:t>
      </w:r>
    </w:p>
    <w:p w14:paraId="742ABB28" w14:textId="0ABCF7E7" w:rsidR="00F74350" w:rsidRDefault="00F74350" w:rsidP="00DA4692">
      <w:pPr>
        <w:pStyle w:val="SpecifierNote"/>
      </w:pPr>
      <w:r>
        <w:t>To limit displacement of insulation or geofoam blocks, connectors may be used. Multibarbed, galvanized-steel sheet connectors in first option in "Connectors" paragraph below are manufactured by AFM Corporation and perhaps other manufacturers. Steel reinforcing bars in second option may also be used.</w:t>
      </w:r>
    </w:p>
    <w:p w14:paraId="265AEB0A" w14:textId="77777777" w:rsidR="00F74350" w:rsidRPr="00D9425C" w:rsidRDefault="00F74350" w:rsidP="001D1756">
      <w:pPr>
        <w:pStyle w:val="PR1"/>
      </w:pPr>
      <w:r>
        <w:t>Connectors: [</w:t>
      </w:r>
      <w:r>
        <w:rPr>
          <w:b/>
        </w:rPr>
        <w:t xml:space="preserve">Geofoam </w:t>
      </w:r>
      <w:r w:rsidRPr="00D9425C">
        <w:rPr>
          <w:b/>
        </w:rPr>
        <w:t>manufacturer's multibarbed, galvanized-steel sheet connectors</w:t>
      </w:r>
      <w:r w:rsidRPr="00D9425C">
        <w:t>] [</w:t>
      </w:r>
      <w:r w:rsidRPr="00D9425C">
        <w:rPr>
          <w:b/>
        </w:rPr>
        <w:t xml:space="preserve">Deformed steel reinforcing bars, </w:t>
      </w:r>
      <w:r w:rsidRPr="00DA4692">
        <w:rPr>
          <w:rStyle w:val="IP"/>
          <w:b/>
          <w:color w:val="auto"/>
        </w:rPr>
        <w:t>3/4 inch</w:t>
      </w:r>
      <w:r w:rsidRPr="00DA4692">
        <w:rPr>
          <w:rStyle w:val="SI"/>
          <w:b/>
          <w:color w:val="auto"/>
        </w:rPr>
        <w:t xml:space="preserve"> </w:t>
      </w:r>
      <w:r w:rsidRPr="00D9425C">
        <w:rPr>
          <w:b/>
        </w:rPr>
        <w:t>in diameter</w:t>
      </w:r>
      <w:r w:rsidRPr="00D9425C">
        <w:t>] &lt;</w:t>
      </w:r>
      <w:r w:rsidRPr="00D9425C">
        <w:rPr>
          <w:b/>
        </w:rPr>
        <w:t>Insert requirement</w:t>
      </w:r>
      <w:r w:rsidRPr="00D9425C">
        <w:t>&gt;.</w:t>
      </w:r>
    </w:p>
    <w:p w14:paraId="08F79BB4" w14:textId="77777777" w:rsidR="00F74350" w:rsidRPr="00D9425C" w:rsidRDefault="00F74350" w:rsidP="001D1756">
      <w:pPr>
        <w:pStyle w:val="ART"/>
      </w:pPr>
      <w:r w:rsidRPr="00D9425C">
        <w:t>ACCESSORIES</w:t>
      </w:r>
    </w:p>
    <w:p w14:paraId="1E1CFD4B" w14:textId="77777777" w:rsidR="00F74350" w:rsidRDefault="00F74350" w:rsidP="00DA4692">
      <w:pPr>
        <w:pStyle w:val="SpecifierNote"/>
      </w:pPr>
      <w:r>
        <w:t>Retain one or both of "Warning Tape" and "Detectable Warning Tape" paragraphs in this article to suit Project. Use of warning tapes may be mandatory for underground hazardous utilities.</w:t>
      </w:r>
    </w:p>
    <w:p w14:paraId="592DE2DD" w14:textId="77777777" w:rsidR="00F74350" w:rsidRDefault="00F74350" w:rsidP="001D1756">
      <w:pPr>
        <w:pStyle w:val="PR1"/>
      </w:pPr>
      <w:r>
        <w:t xml:space="preserve">Warning Tape: Acid- and alkali-resistant, </w:t>
      </w:r>
      <w:r w:rsidRPr="00D9425C">
        <w:t xml:space="preserve">polyethylene film warning tape manufactured for marking and identifying underground utilities, </w:t>
      </w:r>
      <w:r w:rsidRPr="00DA4692">
        <w:rPr>
          <w:rStyle w:val="IP"/>
          <w:color w:val="auto"/>
        </w:rPr>
        <w:t>6 inches</w:t>
      </w:r>
      <w:r w:rsidRPr="00DA4692">
        <w:rPr>
          <w:rStyle w:val="SI"/>
          <w:color w:val="auto"/>
        </w:rPr>
        <w:t xml:space="preserve"> </w:t>
      </w:r>
      <w:r w:rsidRPr="00D9425C">
        <w:t xml:space="preserve">wide and </w:t>
      </w:r>
      <w:r w:rsidRPr="00DA4692">
        <w:rPr>
          <w:rStyle w:val="IP"/>
          <w:color w:val="auto"/>
        </w:rPr>
        <w:t>4 mils</w:t>
      </w:r>
      <w:r w:rsidRPr="00DA4692">
        <w:rPr>
          <w:rStyle w:val="SI"/>
          <w:color w:val="auto"/>
        </w:rPr>
        <w:t xml:space="preserve"> </w:t>
      </w:r>
      <w:r w:rsidRPr="00D9425C">
        <w:t>thick</w:t>
      </w:r>
      <w:r>
        <w:t>, continuously inscribed with a description of the utility; colored as follows:</w:t>
      </w:r>
    </w:p>
    <w:p w14:paraId="5065101A" w14:textId="77777777" w:rsidR="00F74350" w:rsidRDefault="00F74350" w:rsidP="00DA4692">
      <w:pPr>
        <w:pStyle w:val="SpecifierNote"/>
      </w:pPr>
      <w:r>
        <w:t>Revise colors below to comply with local practice or requirements of authorities having jurisdiction.</w:t>
      </w:r>
    </w:p>
    <w:p w14:paraId="50278ACA" w14:textId="77777777" w:rsidR="00F74350" w:rsidRDefault="00F74350" w:rsidP="001D1756">
      <w:pPr>
        <w:pStyle w:val="PR2"/>
        <w:contextualSpacing w:val="0"/>
      </w:pPr>
      <w:r>
        <w:t>Red: Electric.</w:t>
      </w:r>
    </w:p>
    <w:p w14:paraId="18043CF4" w14:textId="77777777" w:rsidR="00F74350" w:rsidRDefault="00F74350" w:rsidP="00F74350">
      <w:pPr>
        <w:pStyle w:val="PR2"/>
        <w:spacing w:before="0"/>
        <w:contextualSpacing w:val="0"/>
      </w:pPr>
      <w:r>
        <w:t>Yellow: Gas, oil, steam, and dangerous materials.</w:t>
      </w:r>
    </w:p>
    <w:p w14:paraId="75A320BF" w14:textId="77777777" w:rsidR="00F74350" w:rsidRDefault="00F74350" w:rsidP="00F74350">
      <w:pPr>
        <w:pStyle w:val="PR2"/>
        <w:spacing w:before="0"/>
        <w:contextualSpacing w:val="0"/>
      </w:pPr>
      <w:r>
        <w:t>Orange: Telephone and other communications.</w:t>
      </w:r>
    </w:p>
    <w:p w14:paraId="0E2C43DD" w14:textId="77777777" w:rsidR="00F74350" w:rsidRDefault="00F74350" w:rsidP="00F74350">
      <w:pPr>
        <w:pStyle w:val="PR2"/>
        <w:spacing w:before="0"/>
        <w:contextualSpacing w:val="0"/>
      </w:pPr>
      <w:r>
        <w:t>Blue: Water systems.</w:t>
      </w:r>
    </w:p>
    <w:p w14:paraId="53342E28" w14:textId="77777777" w:rsidR="00F74350" w:rsidRDefault="00F74350" w:rsidP="00F74350">
      <w:pPr>
        <w:pStyle w:val="PR2"/>
        <w:spacing w:before="0"/>
        <w:contextualSpacing w:val="0"/>
      </w:pPr>
      <w:r>
        <w:t>Green: Sewer systems.</w:t>
      </w:r>
    </w:p>
    <w:p w14:paraId="13DB8934" w14:textId="77777777" w:rsidR="00F74350" w:rsidRDefault="00F74350" w:rsidP="001D1756">
      <w:pPr>
        <w:pStyle w:val="PR1"/>
      </w:pPr>
      <w:r>
        <w:t xml:space="preserve">Detectable </w:t>
      </w:r>
      <w:r w:rsidRPr="00D9425C">
        <w:t xml:space="preserve">Warning Tape: Acid- and alkali-resistant, polyethylene film warning tape manufactured for marking and identifying underground utilities, a minimum of </w:t>
      </w:r>
      <w:r w:rsidRPr="00DA4692">
        <w:rPr>
          <w:rStyle w:val="IP"/>
          <w:color w:val="auto"/>
        </w:rPr>
        <w:t>6 inches</w:t>
      </w:r>
      <w:r w:rsidRPr="00DA4692">
        <w:rPr>
          <w:rStyle w:val="SI"/>
          <w:color w:val="auto"/>
        </w:rPr>
        <w:t xml:space="preserve"> </w:t>
      </w:r>
      <w:r w:rsidRPr="00D9425C">
        <w:t xml:space="preserve">wide and </w:t>
      </w:r>
      <w:r w:rsidRPr="00DA4692">
        <w:rPr>
          <w:rStyle w:val="IP"/>
          <w:color w:val="auto"/>
        </w:rPr>
        <w:t>4 mils</w:t>
      </w:r>
      <w:r w:rsidRPr="00DA4692">
        <w:rPr>
          <w:rStyle w:val="SI"/>
          <w:color w:val="auto"/>
        </w:rPr>
        <w:t xml:space="preserve"> </w:t>
      </w:r>
      <w:r w:rsidRPr="00D9425C">
        <w:t xml:space="preserve">thick, continuously inscribed with a description of the utility, with metallic core encased in a protective jacket for corrosion protection, detectable by metal detector when tape is buried up to </w:t>
      </w:r>
      <w:r w:rsidRPr="00DA4692">
        <w:rPr>
          <w:rStyle w:val="IP"/>
          <w:color w:val="auto"/>
        </w:rPr>
        <w:t>30 inches</w:t>
      </w:r>
      <w:r w:rsidRPr="00DA4692">
        <w:rPr>
          <w:rStyle w:val="SI"/>
          <w:color w:val="auto"/>
        </w:rPr>
        <w:t xml:space="preserve"> </w:t>
      </w:r>
      <w:r w:rsidRPr="00D9425C">
        <w:t xml:space="preserve">deep; colored as </w:t>
      </w:r>
      <w:r>
        <w:t>follows:</w:t>
      </w:r>
    </w:p>
    <w:p w14:paraId="682B4D1B" w14:textId="77777777" w:rsidR="00F74350" w:rsidRDefault="00F74350" w:rsidP="00DA4692">
      <w:pPr>
        <w:pStyle w:val="SpecifierNote"/>
      </w:pPr>
      <w:r>
        <w:t>Revise colors below to comply with local practice or requirements of authorities having jurisdiction.</w:t>
      </w:r>
    </w:p>
    <w:p w14:paraId="6039EE02" w14:textId="77777777" w:rsidR="00F74350" w:rsidRDefault="00F74350" w:rsidP="001D1756">
      <w:pPr>
        <w:pStyle w:val="PR2"/>
        <w:contextualSpacing w:val="0"/>
      </w:pPr>
      <w:r>
        <w:t>Red: Electric.</w:t>
      </w:r>
    </w:p>
    <w:p w14:paraId="296C9D77" w14:textId="77777777" w:rsidR="00F74350" w:rsidRDefault="00F74350" w:rsidP="00F74350">
      <w:pPr>
        <w:pStyle w:val="PR2"/>
        <w:spacing w:before="0"/>
        <w:contextualSpacing w:val="0"/>
      </w:pPr>
      <w:r>
        <w:t>Yellow: Gas, oil, steam, and dangerous materials.</w:t>
      </w:r>
    </w:p>
    <w:p w14:paraId="46E1B6CC" w14:textId="77777777" w:rsidR="00F74350" w:rsidRDefault="00F74350" w:rsidP="00F74350">
      <w:pPr>
        <w:pStyle w:val="PR2"/>
        <w:spacing w:before="0"/>
        <w:contextualSpacing w:val="0"/>
      </w:pPr>
      <w:r>
        <w:t>Orange: Telephone and other communications.</w:t>
      </w:r>
    </w:p>
    <w:p w14:paraId="5C2E7E68" w14:textId="77777777" w:rsidR="00F74350" w:rsidRDefault="00F74350" w:rsidP="00F74350">
      <w:pPr>
        <w:pStyle w:val="PR2"/>
        <w:spacing w:before="0"/>
        <w:contextualSpacing w:val="0"/>
      </w:pPr>
      <w:r>
        <w:t>Blue: Water systems.</w:t>
      </w:r>
    </w:p>
    <w:p w14:paraId="7EB454DD" w14:textId="77777777" w:rsidR="00F74350" w:rsidRDefault="00F74350" w:rsidP="00F74350">
      <w:pPr>
        <w:pStyle w:val="PR2"/>
        <w:spacing w:before="0"/>
        <w:contextualSpacing w:val="0"/>
      </w:pPr>
      <w:r>
        <w:t>Green: Sewer systems.</w:t>
      </w:r>
    </w:p>
    <w:p w14:paraId="67289081" w14:textId="77777777" w:rsidR="00F74350" w:rsidRDefault="00F74350" w:rsidP="00DA4692">
      <w:pPr>
        <w:pStyle w:val="SpecifierNote"/>
      </w:pPr>
      <w:r>
        <w:t>If wastewater system is being constructed consult Environmental Engineer for modification of wastewater section.  Delete article below if not required.</w:t>
      </w:r>
    </w:p>
    <w:p w14:paraId="1A3C8633" w14:textId="77777777" w:rsidR="00F74350" w:rsidRDefault="00F74350" w:rsidP="00F66701">
      <w:pPr>
        <w:pStyle w:val="ART"/>
      </w:pPr>
      <w:r>
        <w:t>WASTEWATER MATERIAL</w:t>
      </w:r>
    </w:p>
    <w:p w14:paraId="1EF50422" w14:textId="05AF4C87" w:rsidR="00F74350" w:rsidRDefault="00F74350" w:rsidP="00F66701">
      <w:pPr>
        <w:pStyle w:val="PR1"/>
      </w:pPr>
      <w:r>
        <w:t>Crushed Stone, Crushed Gravel, or Screened Gravel (Wastewater): Comply with applicable portions of NYSDOT Section 703-02, except as otherwise indicated.</w:t>
      </w:r>
    </w:p>
    <w:p w14:paraId="38AC4945" w14:textId="24B6852B" w:rsidR="00F74350" w:rsidRDefault="00F74350" w:rsidP="00DA4692">
      <w:pPr>
        <w:pStyle w:val="SpecifierNote"/>
      </w:pPr>
      <w:r>
        <w:t>Use only one Gradation subparagraph below for Wastewater Disposal System specified.  Use subparagraph below for Intermittent Subsurface Sand Filters.  Show on drawings.</w:t>
      </w:r>
    </w:p>
    <w:p w14:paraId="4483A964" w14:textId="77777777" w:rsidR="00F74350" w:rsidRDefault="00F74350" w:rsidP="00DA4692">
      <w:pPr>
        <w:pStyle w:val="PR2"/>
        <w:contextualSpacing w:val="0"/>
      </w:pPr>
      <w:r>
        <w:t>Gradation:  No. 6 Sieve to 1/4 inch and 3/4 to 1-1/2 inches.</w:t>
      </w:r>
    </w:p>
    <w:p w14:paraId="0A064C8E" w14:textId="77777777" w:rsidR="00F74350" w:rsidRDefault="00F74350" w:rsidP="00DA4692">
      <w:pPr>
        <w:pStyle w:val="SpecifierNote"/>
      </w:pPr>
      <w:r>
        <w:t>Use below for intermittent open sand filters.  Show on drawings.</w:t>
      </w:r>
    </w:p>
    <w:p w14:paraId="2EB3944A" w14:textId="77777777" w:rsidR="00F74350" w:rsidRDefault="00F74350" w:rsidP="00F74350">
      <w:pPr>
        <w:pStyle w:val="PR2"/>
        <w:spacing w:before="0"/>
        <w:contextualSpacing w:val="0"/>
      </w:pPr>
      <w:r>
        <w:t>Gradation:</w:t>
      </w:r>
    </w:p>
    <w:p w14:paraId="3A4CB745" w14:textId="77777777" w:rsidR="00F74350" w:rsidRDefault="00F74350" w:rsidP="00DA4692">
      <w:pPr>
        <w:pStyle w:val="PR3"/>
        <w:contextualSpacing w:val="0"/>
      </w:pPr>
      <w:r>
        <w:t>Top Layer:  No. 6 Sieve to 1/4 inch.</w:t>
      </w:r>
    </w:p>
    <w:p w14:paraId="2C1FAA7C" w14:textId="77777777" w:rsidR="00F74350" w:rsidRDefault="00F74350" w:rsidP="00F74350">
      <w:pPr>
        <w:pStyle w:val="PR3"/>
        <w:spacing w:before="0"/>
        <w:contextualSpacing w:val="0"/>
      </w:pPr>
      <w:r>
        <w:t>Middle Layer:  1/4 to 3/4 inch.</w:t>
      </w:r>
    </w:p>
    <w:p w14:paraId="55DC1769" w14:textId="77777777" w:rsidR="00F74350" w:rsidRDefault="00F74350" w:rsidP="00DA4692">
      <w:pPr>
        <w:pStyle w:val="PR3"/>
        <w:spacing w:before="0" w:after="240"/>
        <w:contextualSpacing w:val="0"/>
      </w:pPr>
      <w:r>
        <w:t>Bottom Layer:  3/4 to 1-1/2 inches.</w:t>
      </w:r>
    </w:p>
    <w:p w14:paraId="777AF21B" w14:textId="77777777" w:rsidR="00F74350" w:rsidRDefault="00F74350" w:rsidP="00DA4692">
      <w:pPr>
        <w:pStyle w:val="SpecifierNote"/>
      </w:pPr>
      <w:r>
        <w:t>Use subparagraph below for absorption trenches (tile fields).  Show on drawings.</w:t>
      </w:r>
    </w:p>
    <w:p w14:paraId="42A6E347" w14:textId="77777777" w:rsidR="00F74350" w:rsidRDefault="00F74350" w:rsidP="00F74350">
      <w:pPr>
        <w:pStyle w:val="PR2"/>
        <w:spacing w:before="0"/>
        <w:contextualSpacing w:val="0"/>
      </w:pPr>
      <w:r>
        <w:t>Gradation:  3/4 to 1-1/2 inches.</w:t>
      </w:r>
    </w:p>
    <w:p w14:paraId="176A032C" w14:textId="77777777" w:rsidR="00F74350" w:rsidRDefault="00F74350" w:rsidP="00DA4692">
      <w:pPr>
        <w:pStyle w:val="SpecifierNote"/>
      </w:pPr>
      <w:r>
        <w:t>Use subparagraph below for seepage pits (leaching basins).  Show on drawings.</w:t>
      </w:r>
    </w:p>
    <w:p w14:paraId="5908636F" w14:textId="77777777" w:rsidR="00F74350" w:rsidRDefault="00F74350" w:rsidP="00F74350">
      <w:pPr>
        <w:pStyle w:val="PR2"/>
        <w:spacing w:before="0"/>
        <w:contextualSpacing w:val="0"/>
      </w:pPr>
      <w:r>
        <w:t>Gradation:  1-1/2 to 2-1/2 inches.</w:t>
      </w:r>
    </w:p>
    <w:p w14:paraId="31DB78DC" w14:textId="77777777" w:rsidR="00F74350" w:rsidRDefault="00F74350" w:rsidP="002138FB">
      <w:pPr>
        <w:pStyle w:val="PR1"/>
      </w:pPr>
      <w:r>
        <w:t>Sand Filter Material (Wastewater):  Silica sand or other sound sand free from clay, loam, soft limestone or other impurities which may be disintegrated by sewage liquid.</w:t>
      </w:r>
    </w:p>
    <w:p w14:paraId="4BB85A1A" w14:textId="77777777" w:rsidR="00F74350" w:rsidRDefault="00F74350" w:rsidP="00DA4692">
      <w:pPr>
        <w:pStyle w:val="PR2"/>
        <w:contextualSpacing w:val="0"/>
      </w:pPr>
      <w:r>
        <w:t>Organic Content:  Less than 1 percent; ASTM D2974 method and calculation.</w:t>
      </w:r>
    </w:p>
    <w:p w14:paraId="7A656A8A" w14:textId="77777777" w:rsidR="00F74350" w:rsidRDefault="00F74350" w:rsidP="00F74350">
      <w:pPr>
        <w:pStyle w:val="PR2"/>
        <w:spacing w:before="0"/>
        <w:contextualSpacing w:val="0"/>
      </w:pPr>
      <w:r>
        <w:t>Uniformity Coefficient:  4.0 or less.</w:t>
      </w:r>
    </w:p>
    <w:p w14:paraId="1FB51AD5" w14:textId="77777777" w:rsidR="00F74350" w:rsidRDefault="00F74350" w:rsidP="00F74350">
      <w:pPr>
        <w:pStyle w:val="PR2"/>
        <w:spacing w:before="0"/>
        <w:contextualSpacing w:val="0"/>
      </w:pPr>
      <w:r>
        <w:t>Calcium Carbonate Content:  Less than 3 percent by ASTM D4373.</w:t>
      </w:r>
    </w:p>
    <w:p w14:paraId="01D32A09" w14:textId="77777777" w:rsidR="00F74350" w:rsidRDefault="00F74350" w:rsidP="00F74350">
      <w:pPr>
        <w:pStyle w:val="PR2"/>
        <w:spacing w:before="0"/>
        <w:contextualSpacing w:val="0"/>
      </w:pPr>
      <w:r>
        <w:t>Magnesium Sulfate Soundness Test:  Less than 10 percent loss by weight after 5 test cycles by ASTM C88.</w:t>
      </w:r>
    </w:p>
    <w:p w14:paraId="1D0047C8" w14:textId="77777777" w:rsidR="00F74350" w:rsidRDefault="00F74350" w:rsidP="00F74350">
      <w:pPr>
        <w:pStyle w:val="PR2"/>
        <w:spacing w:before="0"/>
        <w:contextualSpacing w:val="0"/>
      </w:pPr>
      <w:r>
        <w:t>Shape:  Rounded or oval.  Do not use sharp sand, crushed flint or gravel.</w:t>
      </w:r>
    </w:p>
    <w:p w14:paraId="2ECE7317" w14:textId="77777777" w:rsidR="00F74350" w:rsidRDefault="00F74350" w:rsidP="00DA4692">
      <w:pPr>
        <w:pStyle w:val="SpecifierNote"/>
      </w:pPr>
      <w:r>
        <w:t>Use only one effective size subparagraph below for wastewater disposal system specified.  Use subparagraph below for intermittent subsurface sand filters where nitrification is not required.  Show on drawings.</w:t>
      </w:r>
    </w:p>
    <w:p w14:paraId="41220303" w14:textId="77777777" w:rsidR="00F74350" w:rsidRDefault="00F74350" w:rsidP="00F74350">
      <w:pPr>
        <w:pStyle w:val="PR2"/>
        <w:spacing w:before="0"/>
        <w:contextualSpacing w:val="0"/>
      </w:pPr>
      <w:r>
        <w:t>Effective Size:  0.50 to 1.0 mm.</w:t>
      </w:r>
    </w:p>
    <w:p w14:paraId="50DA52C5" w14:textId="77777777" w:rsidR="00F74350" w:rsidRDefault="00F74350" w:rsidP="00DA4692">
      <w:pPr>
        <w:pStyle w:val="SpecifierNote"/>
      </w:pPr>
      <w:r>
        <w:t>Use subparagraph below for intermittent subsurface sand filters where nitrification is required.  Show on drawings.</w:t>
      </w:r>
    </w:p>
    <w:p w14:paraId="62A630BF" w14:textId="77777777" w:rsidR="00F74350" w:rsidRDefault="00F74350" w:rsidP="00F74350">
      <w:pPr>
        <w:pStyle w:val="PR2"/>
        <w:spacing w:before="0"/>
        <w:contextualSpacing w:val="0"/>
      </w:pPr>
      <w:r>
        <w:t>Effective Size:  0.25 to 1.0 mm.</w:t>
      </w:r>
    </w:p>
    <w:p w14:paraId="1CA8FFC8" w14:textId="77777777" w:rsidR="00F74350" w:rsidRDefault="00F74350" w:rsidP="00DA4692">
      <w:pPr>
        <w:pStyle w:val="SpecifierNote"/>
      </w:pPr>
      <w:r>
        <w:t>Use subparagraph below for intermittent open sand filters where nitrification is not required.  Show on drawings.</w:t>
      </w:r>
    </w:p>
    <w:p w14:paraId="1A6960D1" w14:textId="77777777" w:rsidR="00F74350" w:rsidRDefault="00F74350" w:rsidP="00F74350">
      <w:pPr>
        <w:pStyle w:val="PR2"/>
        <w:spacing w:before="0"/>
        <w:contextualSpacing w:val="0"/>
      </w:pPr>
      <w:r>
        <w:t>Effective Size:  0.50 to 1.0 mm.</w:t>
      </w:r>
    </w:p>
    <w:p w14:paraId="57B3FE80" w14:textId="77777777" w:rsidR="00F74350" w:rsidRDefault="00F74350" w:rsidP="00DA4692">
      <w:pPr>
        <w:pStyle w:val="SpecifierNote"/>
      </w:pPr>
      <w:r>
        <w:t>Use subparagraph below for intermittent open sand filters where nitrification is required.  Show on drawings.</w:t>
      </w:r>
    </w:p>
    <w:p w14:paraId="2F3766C4" w14:textId="77777777" w:rsidR="00F74350" w:rsidRDefault="00F74350" w:rsidP="00F74350">
      <w:pPr>
        <w:pStyle w:val="PR2"/>
        <w:spacing w:before="0"/>
        <w:contextualSpacing w:val="0"/>
      </w:pPr>
      <w:r>
        <w:t>Effective Size:  0.25 to 1.0 mm.</w:t>
      </w:r>
    </w:p>
    <w:p w14:paraId="50AB228A" w14:textId="5E8AD9AC" w:rsidR="00F74350" w:rsidRDefault="00F74350" w:rsidP="002138FB">
      <w:pPr>
        <w:pStyle w:val="PRT"/>
      </w:pPr>
      <w:r>
        <w:t>EXECUTION (NOT USED)</w:t>
      </w:r>
    </w:p>
    <w:p w14:paraId="6E01DCD1" w14:textId="588ADDC8" w:rsidR="00F74350" w:rsidRDefault="00F74350">
      <w:pPr>
        <w:pStyle w:val="EOS"/>
      </w:pPr>
      <w:r>
        <w:t>END OF SECTION 310001</w:t>
      </w:r>
    </w:p>
    <w:sectPr w:rsidR="00F74350"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9CD440E"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7E02D4">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F74350">
      <w:rPr>
        <w:rFonts w:eastAsia="Calibri"/>
        <w:szCs w:val="22"/>
      </w:rPr>
      <w:t>310001</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E02D4"/>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A4692"/>
    <w:rsid w:val="00DB5B4C"/>
    <w:rsid w:val="00DD64C7"/>
    <w:rsid w:val="00E272BB"/>
    <w:rsid w:val="00E50071"/>
    <w:rsid w:val="00E75A7A"/>
    <w:rsid w:val="00E803C1"/>
    <w:rsid w:val="00E832DF"/>
    <w:rsid w:val="00E86A34"/>
    <w:rsid w:val="00E91B53"/>
    <w:rsid w:val="00EF082A"/>
    <w:rsid w:val="00EF27F8"/>
    <w:rsid w:val="00F35956"/>
    <w:rsid w:val="00F74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F74350"/>
    <w:pPr>
      <w:spacing w:before="240" w:after="160" w:line="259" w:lineRule="auto"/>
      <w:jc w:val="center"/>
    </w:pPr>
  </w:style>
  <w:style w:type="character" w:customStyle="1" w:styleId="PR2Char">
    <w:name w:val="PR2 Char"/>
    <w:basedOn w:val="DefaultParagraphFont"/>
    <w:link w:val="PR2"/>
    <w:rsid w:val="00F74350"/>
    <w:rPr>
      <w:sz w:val="22"/>
    </w:rPr>
  </w:style>
  <w:style w:type="character" w:customStyle="1" w:styleId="STEditORChar">
    <w:name w:val="STEdit[OR] Char"/>
    <w:basedOn w:val="PR2Char"/>
    <w:link w:val="STEditOR"/>
    <w:rsid w:val="00F7435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2675</Words>
  <Characters>15248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17888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