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3ED0" w14:textId="77777777" w:rsidR="0033064A" w:rsidRDefault="0033064A">
      <w:pPr>
        <w:pStyle w:val="SCT"/>
      </w:pPr>
      <w:r>
        <w:t xml:space="preserve">SECTION </w:t>
      </w:r>
      <w:r>
        <w:rPr>
          <w:rStyle w:val="NUM"/>
        </w:rPr>
        <w:t>211116</w:t>
      </w:r>
      <w:r>
        <w:t xml:space="preserve"> - FACILITY FIRE HYDRANTS</w:t>
      </w:r>
    </w:p>
    <w:p w14:paraId="35F6FF87" w14:textId="77777777" w:rsidR="0033064A" w:rsidRDefault="0033064A" w:rsidP="00CA7A13">
      <w:pPr>
        <w:pStyle w:val="SpecifierNote"/>
      </w:pPr>
      <w:r>
        <w:t>Revise this Section by deleting and inserting text to meet Project-specific requirements.</w:t>
      </w:r>
    </w:p>
    <w:p w14:paraId="7B3FAA43" w14:textId="77777777" w:rsidR="0033064A" w:rsidRDefault="0033064A">
      <w:pPr>
        <w:pStyle w:val="ART"/>
      </w:pPr>
      <w:r>
        <w:t>RELATED DOCUMENTS</w:t>
      </w:r>
    </w:p>
    <w:p w14:paraId="5473D396" w14:textId="77777777" w:rsidR="0033064A" w:rsidRPr="00222ED1" w:rsidRDefault="0033064A" w:rsidP="00CA7A13">
      <w:pPr>
        <w:pStyle w:val="PR1"/>
      </w:pPr>
      <w:r>
        <w:t>Drawings and general provisions of the Contract, including General and Supplementary Conditions and Division 01 Specification Sections, apply to this Section.</w:t>
      </w:r>
    </w:p>
    <w:p w14:paraId="7A88F615" w14:textId="77777777" w:rsidR="0033064A" w:rsidRDefault="0033064A">
      <w:pPr>
        <w:pStyle w:val="ART"/>
      </w:pPr>
      <w:r>
        <w:t>SUMMARY</w:t>
      </w:r>
    </w:p>
    <w:p w14:paraId="7355869A" w14:textId="77777777" w:rsidR="0033064A" w:rsidRDefault="0033064A">
      <w:pPr>
        <w:pStyle w:val="PR1"/>
      </w:pPr>
      <w:r>
        <w:t>Section Includes:</w:t>
      </w:r>
    </w:p>
    <w:p w14:paraId="3319AF44" w14:textId="77777777" w:rsidR="0033064A" w:rsidRDefault="0033064A">
      <w:pPr>
        <w:pStyle w:val="PR2"/>
        <w:contextualSpacing w:val="0"/>
      </w:pPr>
      <w:r>
        <w:t>AWWA dry-barrel fire hydrants.</w:t>
      </w:r>
    </w:p>
    <w:p w14:paraId="7B659E23" w14:textId="77777777" w:rsidR="0033064A" w:rsidRDefault="0033064A" w:rsidP="0033064A">
      <w:pPr>
        <w:pStyle w:val="PR2"/>
        <w:spacing w:before="0"/>
        <w:contextualSpacing w:val="0"/>
      </w:pPr>
      <w:r>
        <w:t>UL-listed, dry-barrel fire hydrants.</w:t>
      </w:r>
    </w:p>
    <w:p w14:paraId="1A3728AE" w14:textId="77777777" w:rsidR="0033064A" w:rsidRDefault="0033064A">
      <w:pPr>
        <w:pStyle w:val="PR1"/>
      </w:pPr>
      <w:r>
        <w:t>Related Requirements:</w:t>
      </w:r>
    </w:p>
    <w:p w14:paraId="51206910" w14:textId="77777777" w:rsidR="0033064A" w:rsidRDefault="0033064A" w:rsidP="00CA7A13">
      <w:pPr>
        <w:pStyle w:val="SpecifierNote"/>
      </w:pPr>
      <w:r>
        <w:t>Retain subparagraph below to cross-reference requirements Contractor might expect to find in this Section but are specified in other Sections.</w:t>
      </w:r>
    </w:p>
    <w:p w14:paraId="636B5A16" w14:textId="77777777" w:rsidR="0033064A" w:rsidRDefault="0033064A">
      <w:pPr>
        <w:pStyle w:val="PR2"/>
        <w:contextualSpacing w:val="0"/>
      </w:pPr>
      <w:r>
        <w:t>Section 211100 "Facility Fire-Suppression Water-Service Piping" for piping and specialties for facility fire-suppression water-service piping outside the building and for service entrance piping into the building at the floor slab or wall.</w:t>
      </w:r>
    </w:p>
    <w:p w14:paraId="286BDE94" w14:textId="57BE0DFF" w:rsidR="0033064A" w:rsidRDefault="0033064A">
      <w:pPr>
        <w:pStyle w:val="ART"/>
      </w:pPr>
      <w:r>
        <w:t>SUBMITTALS</w:t>
      </w:r>
    </w:p>
    <w:p w14:paraId="26857E46" w14:textId="77777777" w:rsidR="0033064A" w:rsidRDefault="0033064A" w:rsidP="0033064A">
      <w:pPr>
        <w:pStyle w:val="PR1"/>
      </w:pPr>
      <w:r w:rsidRPr="0033064A">
        <w:t>Submittals</w:t>
      </w:r>
      <w:r>
        <w:t xml:space="preserve"> for this section are subject to the re-evaluation fee identified in Article 4 of the</w:t>
      </w:r>
    </w:p>
    <w:p w14:paraId="6A4A0D02" w14:textId="77777777" w:rsidR="0033064A" w:rsidRDefault="0033064A" w:rsidP="00CA7A13">
      <w:pPr>
        <w:pStyle w:val="PR1"/>
        <w:numPr>
          <w:ilvl w:val="0"/>
          <w:numId w:val="0"/>
        </w:numPr>
        <w:spacing w:before="0"/>
        <w:ind w:left="864"/>
      </w:pPr>
      <w:r>
        <w:t>General Conditions.</w:t>
      </w:r>
    </w:p>
    <w:p w14:paraId="35E1EDCE" w14:textId="77777777" w:rsidR="0033064A" w:rsidRDefault="0033064A" w:rsidP="003A1A30">
      <w:pPr>
        <w:pStyle w:val="PR1"/>
      </w:pPr>
      <w:r>
        <w:t>Manufacturer’s installation instructions shall be provided along with product data.</w:t>
      </w:r>
    </w:p>
    <w:p w14:paraId="5D6667F5" w14:textId="77777777" w:rsidR="0033064A" w:rsidRDefault="0033064A" w:rsidP="00AE4420">
      <w:pPr>
        <w:pStyle w:val="PR1"/>
      </w:pPr>
      <w:r>
        <w:t>Submittals shall be provided in the order in which they are specified and tabbed (for</w:t>
      </w:r>
    </w:p>
    <w:p w14:paraId="3CAF0330" w14:textId="77777777" w:rsidR="0033064A" w:rsidRDefault="0033064A" w:rsidP="00CA7A13">
      <w:pPr>
        <w:pStyle w:val="PR1"/>
        <w:numPr>
          <w:ilvl w:val="0"/>
          <w:numId w:val="0"/>
        </w:numPr>
        <w:spacing w:before="0"/>
        <w:ind w:left="864"/>
      </w:pPr>
      <w:r>
        <w:t>combined submittals).</w:t>
      </w:r>
    </w:p>
    <w:p w14:paraId="43164434" w14:textId="77777777" w:rsidR="0033064A" w:rsidRDefault="0033064A">
      <w:pPr>
        <w:pStyle w:val="PR1"/>
      </w:pPr>
      <w:r>
        <w:t>Product Data: For each type of product.</w:t>
      </w:r>
    </w:p>
    <w:p w14:paraId="48436731" w14:textId="77777777" w:rsidR="0033064A" w:rsidRDefault="0033064A">
      <w:pPr>
        <w:pStyle w:val="ART"/>
      </w:pPr>
      <w:r>
        <w:t>CLOSEOUT SUBMITTALS</w:t>
      </w:r>
    </w:p>
    <w:p w14:paraId="5CDA96A5" w14:textId="77777777" w:rsidR="0033064A" w:rsidRDefault="0033064A">
      <w:pPr>
        <w:pStyle w:val="PR1"/>
      </w:pPr>
      <w:r>
        <w:t>Maintenance Data: For fire hydrants to include in maintenance manuals.</w:t>
      </w:r>
    </w:p>
    <w:p w14:paraId="3F798663" w14:textId="752FA4D8" w:rsidR="0033064A" w:rsidRDefault="0033064A" w:rsidP="00CA7A13">
      <w:pPr>
        <w:pStyle w:val="PRT"/>
      </w:pPr>
      <w:r>
        <w:t>PRODUCTS</w:t>
      </w:r>
    </w:p>
    <w:p w14:paraId="34255A95" w14:textId="77777777" w:rsidR="0033064A" w:rsidRDefault="0033064A">
      <w:pPr>
        <w:pStyle w:val="ART"/>
      </w:pPr>
      <w:r>
        <w:t>AWWA DRY-BARREL FIRE HYDRANTS</w:t>
      </w:r>
    </w:p>
    <w:p w14:paraId="1810DF12" w14:textId="77777777" w:rsidR="0033064A" w:rsidRPr="0033064A" w:rsidRDefault="0033064A" w:rsidP="00CA7A13">
      <w:pPr>
        <w:pStyle w:val="SpecifierNote"/>
      </w:pPr>
      <w:r w:rsidRPr="0033064A">
        <w:t>Use dry-barrel hydrants in areas with freezing weather; otherwise, use wet-barrel hydrants. AWWA is a post type and has interior coating. UL listed is a freestanding type.</w:t>
      </w:r>
    </w:p>
    <w:p w14:paraId="5A4A8051" w14:textId="597C8946" w:rsidR="0033064A" w:rsidRDefault="00565619" w:rsidP="00E44B48">
      <w:pPr>
        <w:pStyle w:val="PR1"/>
        <w:rPr>
          <w:color w:val="000000"/>
        </w:rPr>
      </w:pPr>
      <w:hyperlink r:id="rId11" w:history="1">
        <w:r w:rsidR="0033064A" w:rsidRPr="0033064A">
          <w:t>Manufacturers:</w:t>
        </w:r>
      </w:hyperlink>
      <w:r w:rsidR="0033064A" w:rsidRPr="007045D0">
        <w:rPr>
          <w:color w:val="000000"/>
        </w:rPr>
        <w:t xml:space="preserve"> Subject to compliance with requirements, </w:t>
      </w:r>
      <w:r w:rsidR="0033064A" w:rsidRPr="00CA7A13">
        <w:rPr>
          <w:color w:val="000000"/>
        </w:rPr>
        <w:t>available manufacturers offering products that may be incorporated into the Work include, but are not limited to, the following</w:t>
      </w:r>
      <w:r w:rsidR="0033064A" w:rsidRPr="00415FFA">
        <w:rPr>
          <w:color w:val="000000"/>
        </w:rPr>
        <w:t>:</w:t>
      </w:r>
    </w:p>
    <w:p w14:paraId="772987E7" w14:textId="77777777" w:rsidR="0033064A" w:rsidRDefault="0033064A" w:rsidP="00CA7A13">
      <w:pPr>
        <w:pStyle w:val="PR2"/>
      </w:pPr>
      <w:r>
        <w:t xml:space="preserve">American AVK </w:t>
      </w:r>
      <w:r w:rsidRPr="00CA7A13">
        <w:t>Company</w:t>
      </w:r>
    </w:p>
    <w:p w14:paraId="0F4F9904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lastRenderedPageBreak/>
        <w:t>American Cast Iron Pipe Company</w:t>
      </w:r>
    </w:p>
    <w:p w14:paraId="7BADD7BC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American Foundry Group, Inc</w:t>
      </w:r>
    </w:p>
    <w:p w14:paraId="573A4AB8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Clow Valve Company; a subsidiary of McWane, Inc.</w:t>
      </w:r>
    </w:p>
    <w:p w14:paraId="725165C2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EJ</w:t>
      </w:r>
    </w:p>
    <w:p w14:paraId="37B9B96A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Kennedy Valve Company, a division of McWane, Inc.</w:t>
      </w:r>
    </w:p>
    <w:p w14:paraId="6B0AEDBF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M &amp; H Valve Company, a subsidiary of McWane, Inc.</w:t>
      </w:r>
    </w:p>
    <w:p w14:paraId="1D4FBB37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 xml:space="preserve">Mueller Co </w:t>
      </w:r>
    </w:p>
    <w:p w14:paraId="16CDE627" w14:textId="19AB1A66" w:rsidR="0033064A" w:rsidRPr="007045D0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74033058" w14:textId="77777777" w:rsidR="0033064A" w:rsidRDefault="0033064A">
      <w:pPr>
        <w:pStyle w:val="PR1"/>
      </w:pPr>
      <w:r>
        <w:t xml:space="preserve">Description: Post type, with one </w:t>
      </w:r>
      <w:r w:rsidRPr="00222ED1">
        <w:rPr>
          <w:rStyle w:val="IP"/>
          <w:color w:val="auto"/>
        </w:rPr>
        <w:t>NPS 4-1/2</w:t>
      </w:r>
      <w:r>
        <w:t xml:space="preserve"> and two </w:t>
      </w:r>
      <w:r w:rsidRPr="00222ED1">
        <w:rPr>
          <w:rStyle w:val="IP"/>
          <w:color w:val="auto"/>
        </w:rPr>
        <w:t>NPS 2-1/2</w:t>
      </w:r>
      <w:r>
        <w:t xml:space="preserve"> outlets; and with </w:t>
      </w:r>
      <w:r w:rsidRPr="00222ED1">
        <w:rPr>
          <w:rStyle w:val="IP"/>
          <w:color w:val="auto"/>
        </w:rPr>
        <w:t>5-1/4-inch</w:t>
      </w:r>
      <w:r>
        <w:t xml:space="preserve"> main valve, drain valve, and </w:t>
      </w:r>
      <w:r w:rsidRPr="00222ED1">
        <w:rPr>
          <w:rStyle w:val="IP"/>
          <w:color w:val="auto"/>
        </w:rPr>
        <w:t>NPS 6</w:t>
      </w:r>
      <w:r>
        <w:t xml:space="preserve"> mechanical-joint inlet. Include interior coating according to AWWA C550. Hydrant shall have cast-iron body and compression-type valve that opens against pressure and closes with pressure.</w:t>
      </w:r>
    </w:p>
    <w:p w14:paraId="3962996E" w14:textId="77777777" w:rsidR="0033064A" w:rsidRDefault="0033064A">
      <w:pPr>
        <w:pStyle w:val="PR1"/>
      </w:pPr>
      <w:r>
        <w:t>Standard: AWWA C502.</w:t>
      </w:r>
    </w:p>
    <w:p w14:paraId="16A4D560" w14:textId="7CA758C8" w:rsidR="0033064A" w:rsidRDefault="0033064A" w:rsidP="00CA7A13">
      <w:pPr>
        <w:pStyle w:val="SpecifierNote"/>
      </w:pPr>
      <w:r>
        <w:t>Verify, with manufacturer, availability of model if 200- or 250-psig pressure rating is required.</w:t>
      </w:r>
    </w:p>
    <w:p w14:paraId="4C9A7122" w14:textId="77777777" w:rsidR="0033064A" w:rsidRDefault="0033064A">
      <w:pPr>
        <w:pStyle w:val="PR2"/>
        <w:contextualSpacing w:val="0"/>
      </w:pPr>
      <w:r>
        <w:t>Pressure Rating: [</w:t>
      </w:r>
      <w:r w:rsidRPr="00222ED1">
        <w:rPr>
          <w:rStyle w:val="IP"/>
          <w:b/>
          <w:color w:val="auto"/>
        </w:rPr>
        <w:t>150 psig</w:t>
      </w:r>
      <w:r>
        <w:rPr>
          <w:b/>
        </w:rPr>
        <w:t xml:space="preserve"> minimum</w:t>
      </w:r>
      <w:r>
        <w:t>] [</w:t>
      </w:r>
      <w:r w:rsidRPr="00222ED1">
        <w:rPr>
          <w:rStyle w:val="IP"/>
          <w:b/>
          <w:color w:val="auto"/>
        </w:rPr>
        <w:t>200 psig</w:t>
      </w:r>
      <w:r>
        <w:rPr>
          <w:b/>
        </w:rPr>
        <w:t xml:space="preserve"> minimum</w:t>
      </w:r>
      <w:r>
        <w:t>] [</w:t>
      </w:r>
      <w:r w:rsidRPr="00222ED1">
        <w:rPr>
          <w:rStyle w:val="IP"/>
          <w:b/>
          <w:color w:val="auto"/>
        </w:rPr>
        <w:t>250 psig</w:t>
      </w:r>
      <w:r>
        <w:t>].</w:t>
      </w:r>
    </w:p>
    <w:p w14:paraId="5BF2F41A" w14:textId="77777777" w:rsidR="0033064A" w:rsidRDefault="0033064A">
      <w:pPr>
        <w:pStyle w:val="ART"/>
      </w:pPr>
      <w:r>
        <w:t>UL-LISTED, DRY-BARREL FIRE HYDRANTS</w:t>
      </w:r>
    </w:p>
    <w:p w14:paraId="128B5F9E" w14:textId="77777777" w:rsidR="0033064A" w:rsidRDefault="0033064A" w:rsidP="00CA7A13">
      <w:pPr>
        <w:pStyle w:val="SpecifierNote"/>
      </w:pPr>
      <w:r>
        <w:t>Retain this article for UL-listed or FM Global-approved, dry-barrel fire hydrants.</w:t>
      </w:r>
    </w:p>
    <w:p w14:paraId="07DFDF88" w14:textId="233E7015" w:rsidR="0033064A" w:rsidRDefault="00565619" w:rsidP="00E44B48">
      <w:pPr>
        <w:pStyle w:val="PR1"/>
        <w:rPr>
          <w:color w:val="000000"/>
        </w:rPr>
      </w:pPr>
      <w:hyperlink r:id="rId12" w:history="1">
        <w:r w:rsidR="0033064A" w:rsidRPr="007045D0">
          <w:t>Manufacturers:</w:t>
        </w:r>
      </w:hyperlink>
      <w:r w:rsidR="0033064A" w:rsidRPr="007045D0">
        <w:rPr>
          <w:color w:val="000000"/>
        </w:rPr>
        <w:t xml:space="preserve"> Subject to compliance with requirements, </w:t>
      </w:r>
      <w:r w:rsidR="0033064A" w:rsidRPr="00190DDB">
        <w:rPr>
          <w:color w:val="000000"/>
        </w:rPr>
        <w:t>available manufacturers offering products that may be incorporated into the Work include, but are not limited to, the following</w:t>
      </w:r>
      <w:r w:rsidR="0033064A" w:rsidRPr="00415FFA">
        <w:rPr>
          <w:color w:val="000000"/>
        </w:rPr>
        <w:t>:</w:t>
      </w:r>
    </w:p>
    <w:p w14:paraId="328F218D" w14:textId="77777777" w:rsidR="0033064A" w:rsidRDefault="0033064A" w:rsidP="00CA7A13">
      <w:pPr>
        <w:pStyle w:val="PR2"/>
      </w:pPr>
      <w:r>
        <w:t xml:space="preserve">American </w:t>
      </w:r>
      <w:r w:rsidRPr="00CA7A13">
        <w:t>Cast</w:t>
      </w:r>
      <w:r>
        <w:t xml:space="preserve"> Iron Pipe Company</w:t>
      </w:r>
    </w:p>
    <w:p w14:paraId="3806DA17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American Foundry Group, Inc</w:t>
      </w:r>
    </w:p>
    <w:p w14:paraId="79E98336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Clow Valve Company; a subsidiary of McWane, Inc.</w:t>
      </w:r>
    </w:p>
    <w:p w14:paraId="0E5BAD2D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EJ</w:t>
      </w:r>
    </w:p>
    <w:p w14:paraId="6E0F42E1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Kennedy Valve Company, a division of McWane, Inc.</w:t>
      </w:r>
    </w:p>
    <w:p w14:paraId="5A85A008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M &amp; H Valve Company, a subsidiary of McWane, Inc.</w:t>
      </w:r>
    </w:p>
    <w:p w14:paraId="53593B21" w14:textId="77777777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Mueller Co</w:t>
      </w:r>
    </w:p>
    <w:p w14:paraId="213E543B" w14:textId="2D5E9180" w:rsidR="0033064A" w:rsidRDefault="0033064A" w:rsidP="0033064A">
      <w:pPr>
        <w:pStyle w:val="PR2"/>
        <w:spacing w:before="0"/>
        <w:contextualSpacing w:val="0"/>
        <w:rPr>
          <w:color w:val="000000"/>
        </w:rPr>
      </w:pPr>
      <w:r>
        <w:rPr>
          <w:color w:val="000000"/>
        </w:rPr>
        <w:t>Approved equivalent.</w:t>
      </w:r>
    </w:p>
    <w:p w14:paraId="6F321CD8" w14:textId="77777777" w:rsidR="0033064A" w:rsidRDefault="0033064A">
      <w:pPr>
        <w:pStyle w:val="PR1"/>
      </w:pPr>
      <w:r>
        <w:t xml:space="preserve">Description: Freestanding, with one </w:t>
      </w:r>
      <w:r w:rsidRPr="00222ED1">
        <w:rPr>
          <w:rStyle w:val="IP"/>
          <w:color w:val="auto"/>
        </w:rPr>
        <w:t>NPS 4-1/2</w:t>
      </w:r>
      <w:r>
        <w:t xml:space="preserve"> and two </w:t>
      </w:r>
      <w:r w:rsidRPr="00222ED1">
        <w:rPr>
          <w:rStyle w:val="IP"/>
          <w:color w:val="auto"/>
        </w:rPr>
        <w:t>NPS 2-1/2</w:t>
      </w:r>
      <w:r>
        <w:t xml:space="preserve"> outlets; and with </w:t>
      </w:r>
      <w:r w:rsidRPr="00222ED1">
        <w:rPr>
          <w:rStyle w:val="IP"/>
          <w:color w:val="auto"/>
        </w:rPr>
        <w:t>5-1/4-inch</w:t>
      </w:r>
      <w:r>
        <w:t xml:space="preserve"> main valve, drain valve, and </w:t>
      </w:r>
      <w:r w:rsidRPr="00222ED1">
        <w:rPr>
          <w:rStyle w:val="IP"/>
          <w:color w:val="auto"/>
        </w:rPr>
        <w:t>NPS 6</w:t>
      </w:r>
      <w:r>
        <w:t xml:space="preserve"> mechanical-joint inlet. Hydrant shall have cast-iron body and compression-type valve that opens against pressure and closes with pressure.</w:t>
      </w:r>
    </w:p>
    <w:p w14:paraId="70897A42" w14:textId="77777777" w:rsidR="0033064A" w:rsidRDefault="0033064A">
      <w:pPr>
        <w:pStyle w:val="PR1"/>
      </w:pPr>
      <w:r>
        <w:t>Standards: UL 246 and FM Global's "Approval Guide."</w:t>
      </w:r>
    </w:p>
    <w:p w14:paraId="6524367A" w14:textId="77777777" w:rsidR="0033064A" w:rsidRDefault="0033064A">
      <w:pPr>
        <w:pStyle w:val="PR1"/>
      </w:pPr>
      <w:r>
        <w:t>Design: Base valve.</w:t>
      </w:r>
    </w:p>
    <w:p w14:paraId="394AD3F1" w14:textId="20009400" w:rsidR="0033064A" w:rsidRDefault="0033064A" w:rsidP="00CA7A13">
      <w:pPr>
        <w:pStyle w:val="SpecifierNote"/>
      </w:pPr>
      <w:r>
        <w:t>Verify, with manufacturer, availability of model if 175-, 200-, or 250-psig pressure rating is required.</w:t>
      </w:r>
    </w:p>
    <w:p w14:paraId="06B1946E" w14:textId="77777777" w:rsidR="0033064A" w:rsidRDefault="0033064A">
      <w:pPr>
        <w:pStyle w:val="PR1"/>
      </w:pPr>
      <w:r>
        <w:t>Pressure Rating: [</w:t>
      </w:r>
      <w:r w:rsidRPr="00222ED1">
        <w:rPr>
          <w:rStyle w:val="IP"/>
          <w:b/>
          <w:color w:val="auto"/>
        </w:rPr>
        <w:t>150 psig</w:t>
      </w:r>
      <w:r>
        <w:rPr>
          <w:b/>
        </w:rPr>
        <w:t xml:space="preserve"> minimum</w:t>
      </w:r>
      <w:r>
        <w:t>] [</w:t>
      </w:r>
      <w:r w:rsidRPr="00222ED1">
        <w:rPr>
          <w:rStyle w:val="IP"/>
          <w:b/>
          <w:color w:val="auto"/>
        </w:rPr>
        <w:t>175 psig</w:t>
      </w:r>
      <w:r>
        <w:rPr>
          <w:b/>
        </w:rPr>
        <w:t xml:space="preserve"> minimum</w:t>
      </w:r>
      <w:r>
        <w:t>] [</w:t>
      </w:r>
      <w:r w:rsidRPr="00222ED1">
        <w:rPr>
          <w:rStyle w:val="IP"/>
          <w:b/>
          <w:color w:val="auto"/>
        </w:rPr>
        <w:t>200 psig</w:t>
      </w:r>
      <w:r>
        <w:rPr>
          <w:b/>
        </w:rPr>
        <w:t xml:space="preserve"> minimum</w:t>
      </w:r>
      <w:r>
        <w:t>] [</w:t>
      </w:r>
      <w:r w:rsidRPr="00222ED1">
        <w:rPr>
          <w:rStyle w:val="IP"/>
          <w:b/>
          <w:color w:val="auto"/>
        </w:rPr>
        <w:t>250 psig</w:t>
      </w:r>
      <w:r>
        <w:t>].</w:t>
      </w:r>
    </w:p>
    <w:p w14:paraId="6597E533" w14:textId="77777777" w:rsidR="0033064A" w:rsidRDefault="0033064A">
      <w:pPr>
        <w:pStyle w:val="PR1"/>
      </w:pPr>
      <w:r>
        <w:t>Outlet Threads: NFPA 1963, with external hose thread used by local fire department. Include cast-iron caps with steel chains.</w:t>
      </w:r>
    </w:p>
    <w:p w14:paraId="0F40B9EF" w14:textId="77777777" w:rsidR="0033064A" w:rsidRDefault="0033064A" w:rsidP="00CA7A13">
      <w:pPr>
        <w:pStyle w:val="SpecifierNote"/>
      </w:pPr>
      <w:r>
        <w:t>Revise "Operating and Cap Nuts" and "Direction of Opening" paragraphs below if required by authorities having jurisdiction.</w:t>
      </w:r>
    </w:p>
    <w:p w14:paraId="4129C896" w14:textId="77777777" w:rsidR="0033064A" w:rsidRDefault="0033064A">
      <w:pPr>
        <w:pStyle w:val="PR1"/>
      </w:pPr>
      <w:r>
        <w:t xml:space="preserve">Operating and Cap Nuts: Pentagon, </w:t>
      </w:r>
      <w:r w:rsidRPr="00222ED1">
        <w:rPr>
          <w:rStyle w:val="IP"/>
          <w:color w:val="auto"/>
        </w:rPr>
        <w:t>1-1/2 inches</w:t>
      </w:r>
      <w:r>
        <w:t xml:space="preserve"> point to flat.</w:t>
      </w:r>
    </w:p>
    <w:p w14:paraId="7B00F642" w14:textId="77777777" w:rsidR="0033064A" w:rsidRDefault="0033064A">
      <w:pPr>
        <w:pStyle w:val="PR1"/>
      </w:pPr>
      <w:r>
        <w:t>Direction of Opening: Hydrant valve opens by turning operating nut to left or counterclockwise.</w:t>
      </w:r>
    </w:p>
    <w:p w14:paraId="6EF44506" w14:textId="77777777" w:rsidR="0033064A" w:rsidRDefault="0033064A">
      <w:pPr>
        <w:pStyle w:val="PR1"/>
      </w:pPr>
      <w:r>
        <w:t>Exterior Finish: Red alkyd-gloss enamel paint unless otherwise indicated.</w:t>
      </w:r>
    </w:p>
    <w:p w14:paraId="39493E5A" w14:textId="77777777" w:rsidR="0033064A" w:rsidRDefault="0033064A">
      <w:pPr>
        <w:pStyle w:val="PRT"/>
      </w:pPr>
      <w:r>
        <w:t>EXECUTION</w:t>
      </w:r>
    </w:p>
    <w:p w14:paraId="49E9CC0D" w14:textId="77777777" w:rsidR="0033064A" w:rsidRDefault="0033064A">
      <w:pPr>
        <w:pStyle w:val="ART"/>
      </w:pPr>
      <w:r>
        <w:t>EXAMINATION</w:t>
      </w:r>
    </w:p>
    <w:p w14:paraId="2945E1E5" w14:textId="77777777" w:rsidR="0033064A" w:rsidRDefault="0033064A">
      <w:pPr>
        <w:pStyle w:val="PR1"/>
      </w:pPr>
      <w:r>
        <w:t>Examine substrates, areas, and conditions, with Installer present, for compliance with requirements for installation tolerances and other conditions affecting performance of fire hydrants.</w:t>
      </w:r>
    </w:p>
    <w:p w14:paraId="78F7D97E" w14:textId="77777777" w:rsidR="0033064A" w:rsidRDefault="0033064A">
      <w:pPr>
        <w:pStyle w:val="PR1"/>
      </w:pPr>
      <w:r>
        <w:t>Examine roughing-in for facility fire-suppression water-service piping to verify actual locations of piping connections before installation.</w:t>
      </w:r>
    </w:p>
    <w:p w14:paraId="575FA5AB" w14:textId="77777777" w:rsidR="0033064A" w:rsidRDefault="0033064A">
      <w:pPr>
        <w:pStyle w:val="PR1"/>
      </w:pPr>
      <w:r>
        <w:t>Proceed with installation only after unsatisfactory conditions have been corrected.</w:t>
      </w:r>
    </w:p>
    <w:p w14:paraId="0B63645F" w14:textId="77777777" w:rsidR="0033064A" w:rsidRDefault="0033064A">
      <w:pPr>
        <w:pStyle w:val="ART"/>
      </w:pPr>
      <w:r>
        <w:t>FIRE HYDRANT INSTALLATION</w:t>
      </w:r>
    </w:p>
    <w:p w14:paraId="7F0E3C6B" w14:textId="77777777" w:rsidR="0033064A" w:rsidRDefault="0033064A">
      <w:pPr>
        <w:pStyle w:val="PR1"/>
      </w:pPr>
      <w:r>
        <w:t>General: Install each fire hydrant with separate gate valve in supply pipe, anchor with restrained joints or thrust blocks, and support in upright position.</w:t>
      </w:r>
    </w:p>
    <w:p w14:paraId="6030BFA4" w14:textId="3EB1B2A5" w:rsidR="0033064A" w:rsidRDefault="0033064A">
      <w:pPr>
        <w:pStyle w:val="PR1"/>
      </w:pPr>
      <w:r>
        <w:t>Dry-Barrel Fire Hydrants: Install with valve below the frost line. Provide for drainage.</w:t>
      </w:r>
    </w:p>
    <w:p w14:paraId="4934F0A3" w14:textId="77777777" w:rsidR="0033064A" w:rsidRDefault="0033064A">
      <w:pPr>
        <w:pStyle w:val="PR1"/>
      </w:pPr>
      <w:r>
        <w:t>AWWA Fire Hydrants: Comply with AWWA M17.</w:t>
      </w:r>
    </w:p>
    <w:p w14:paraId="0F0072F0" w14:textId="77777777" w:rsidR="0033064A" w:rsidRDefault="0033064A">
      <w:pPr>
        <w:pStyle w:val="PR1"/>
      </w:pPr>
      <w:r>
        <w:t>UL-Listed or FM Global-Approved Fire Hydrants: Comply with NFPA 24.</w:t>
      </w:r>
    </w:p>
    <w:p w14:paraId="48C28E17" w14:textId="421F3996" w:rsidR="0033064A" w:rsidRDefault="0033064A">
      <w:pPr>
        <w:pStyle w:val="EOS"/>
      </w:pPr>
      <w:r>
        <w:t>END OF SECTION 211116</w:t>
      </w:r>
    </w:p>
    <w:sectPr w:rsidR="0033064A" w:rsidSect="00885A57">
      <w:footerReference w:type="default" r:id="rId13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08C85927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565619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33064A">
      <w:rPr>
        <w:rFonts w:eastAsia="Calibri"/>
        <w:szCs w:val="22"/>
      </w:rPr>
      <w:t>211116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3064A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65619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A7A13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?ulid=924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?ulid=924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4922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