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0B6C" w14:textId="77777777" w:rsidR="00B51169" w:rsidRPr="003249CE" w:rsidRDefault="00B51169" w:rsidP="00E35CF9">
      <w:pPr>
        <w:suppressAutoHyphens/>
        <w:jc w:val="center"/>
        <w:rPr>
          <w:rFonts w:ascii="Times New Roman" w:hAnsi="Times New Roman"/>
          <w:spacing w:val="-2"/>
        </w:rPr>
      </w:pPr>
      <w:r w:rsidRPr="003249CE">
        <w:rPr>
          <w:rFonts w:ascii="Times New Roman" w:hAnsi="Times New Roman"/>
          <w:b/>
          <w:spacing w:val="-2"/>
        </w:rPr>
        <w:t xml:space="preserve">DOCUMENT </w:t>
      </w:r>
      <w:r w:rsidR="00E35CF9" w:rsidRPr="003249CE">
        <w:rPr>
          <w:rFonts w:ascii="Times New Roman" w:hAnsi="Times New Roman"/>
          <w:b/>
          <w:spacing w:val="-2"/>
        </w:rPr>
        <w:t>007320</w:t>
      </w:r>
    </w:p>
    <w:p w14:paraId="13701D82" w14:textId="77777777" w:rsidR="00B51169" w:rsidRPr="003249CE" w:rsidRDefault="00B51169" w:rsidP="00E35CF9">
      <w:pPr>
        <w:suppressAutoHyphens/>
        <w:jc w:val="center"/>
        <w:rPr>
          <w:rFonts w:ascii="Times New Roman" w:hAnsi="Times New Roman"/>
          <w:spacing w:val="-2"/>
        </w:rPr>
      </w:pPr>
    </w:p>
    <w:p w14:paraId="4F28ADA9" w14:textId="77777777" w:rsidR="00B51169" w:rsidRPr="003249CE" w:rsidRDefault="00B51169" w:rsidP="00E35CF9">
      <w:pPr>
        <w:suppressAutoHyphens/>
        <w:jc w:val="center"/>
        <w:rPr>
          <w:rFonts w:ascii="Times New Roman" w:hAnsi="Times New Roman"/>
          <w:b/>
          <w:spacing w:val="-2"/>
        </w:rPr>
      </w:pPr>
      <w:r w:rsidRPr="003249CE">
        <w:rPr>
          <w:rFonts w:ascii="Times New Roman" w:hAnsi="Times New Roman"/>
          <w:b/>
          <w:spacing w:val="-2"/>
        </w:rPr>
        <w:t xml:space="preserve">SUPPLEMENTARY CONDITIONS </w:t>
      </w:r>
      <w:r w:rsidR="00F65FF3" w:rsidRPr="003249CE">
        <w:rPr>
          <w:rFonts w:ascii="Times New Roman" w:hAnsi="Times New Roman"/>
          <w:b/>
          <w:spacing w:val="-2"/>
        </w:rPr>
        <w:t>–</w:t>
      </w:r>
      <w:r w:rsidR="00306E94" w:rsidRPr="003249CE">
        <w:rPr>
          <w:rFonts w:ascii="Times New Roman" w:hAnsi="Times New Roman"/>
          <w:b/>
          <w:spacing w:val="-2"/>
        </w:rPr>
        <w:t xml:space="preserve"> </w:t>
      </w:r>
      <w:r w:rsidR="007A3B5F" w:rsidRPr="003249CE">
        <w:rPr>
          <w:b/>
          <w:szCs w:val="22"/>
        </w:rPr>
        <w:t>WICKS EXEMPT</w:t>
      </w:r>
    </w:p>
    <w:p w14:paraId="669B1764" w14:textId="77777777" w:rsidR="00E35CF9" w:rsidRPr="003249CE" w:rsidRDefault="00E35CF9" w:rsidP="00E35CF9">
      <w:pPr>
        <w:suppressAutoHyphens/>
        <w:jc w:val="both"/>
        <w:rPr>
          <w:rFonts w:ascii="Times New Roman" w:hAnsi="Times New Roman"/>
          <w:spacing w:val="-2"/>
        </w:rPr>
      </w:pPr>
    </w:p>
    <w:p w14:paraId="66DD3FDA" w14:textId="77777777" w:rsidR="00E35CF9" w:rsidRPr="003249CE" w:rsidRDefault="00E35CF9" w:rsidP="00E35CF9">
      <w:pPr>
        <w:suppressAutoHyphens/>
        <w:jc w:val="both"/>
        <w:rPr>
          <w:rFonts w:ascii="Times New Roman" w:hAnsi="Times New Roman"/>
          <w:spacing w:val="-2"/>
        </w:rPr>
      </w:pPr>
    </w:p>
    <w:p w14:paraId="50E776F2" w14:textId="77777777" w:rsidR="00E35CF9" w:rsidRPr="003249CE" w:rsidRDefault="00E35CF9" w:rsidP="00E35CF9">
      <w:pPr>
        <w:suppressAutoHyphens/>
        <w:jc w:val="both"/>
        <w:rPr>
          <w:rFonts w:ascii="Times New Roman" w:hAnsi="Times New Roman"/>
          <w:spacing w:val="-2"/>
        </w:rPr>
      </w:pPr>
      <w:r w:rsidRPr="003249CE">
        <w:rPr>
          <w:rFonts w:ascii="Times New Roman" w:hAnsi="Times New Roman"/>
          <w:spacing w:val="-2"/>
        </w:rPr>
        <w:t>This supplement modifies the General Conditions.  Where any part of the General Conditions is modified by this supplement, the unaltered provisions of that part shall remain in effect.</w:t>
      </w:r>
    </w:p>
    <w:p w14:paraId="5ACAF934" w14:textId="77777777" w:rsidR="00E35CF9" w:rsidRPr="003249CE" w:rsidRDefault="00E35CF9" w:rsidP="00E35CF9">
      <w:pPr>
        <w:suppressAutoHyphens/>
        <w:jc w:val="both"/>
        <w:rPr>
          <w:rFonts w:ascii="Times New Roman" w:hAnsi="Times New Roman"/>
          <w:spacing w:val="-2"/>
        </w:rPr>
      </w:pPr>
    </w:p>
    <w:p w14:paraId="37C7312F" w14:textId="77777777" w:rsidR="007A3B5F" w:rsidRPr="003249CE" w:rsidRDefault="007A3B5F" w:rsidP="00E35CF9">
      <w:pPr>
        <w:rPr>
          <w:b/>
          <w:szCs w:val="22"/>
        </w:rPr>
      </w:pPr>
      <w:r w:rsidRPr="003249CE">
        <w:rPr>
          <w:b/>
          <w:szCs w:val="22"/>
        </w:rPr>
        <w:t>ARTICLE 6 - CONTRACTOR’S SUPERVISION</w:t>
      </w:r>
    </w:p>
    <w:p w14:paraId="6FB6A420" w14:textId="77777777" w:rsidR="0063079D" w:rsidRPr="003249CE" w:rsidRDefault="0063079D" w:rsidP="00E35CF9">
      <w:pPr>
        <w:suppressAutoHyphens/>
        <w:jc w:val="both"/>
        <w:rPr>
          <w:rFonts w:ascii="Times New Roman" w:hAnsi="Times New Roman"/>
          <w:b/>
          <w:spacing w:val="-2"/>
        </w:rPr>
      </w:pPr>
    </w:p>
    <w:p w14:paraId="4CC3477A" w14:textId="77777777" w:rsidR="0063079D" w:rsidRPr="003249CE" w:rsidRDefault="0063079D" w:rsidP="00E35CF9">
      <w:pPr>
        <w:suppressAutoHyphens/>
        <w:jc w:val="both"/>
        <w:rPr>
          <w:rFonts w:ascii="Times New Roman" w:hAnsi="Times New Roman"/>
          <w:spacing w:val="-2"/>
        </w:rPr>
      </w:pPr>
      <w:r w:rsidRPr="003249CE">
        <w:rPr>
          <w:rFonts w:ascii="Times New Roman" w:hAnsi="Times New Roman"/>
          <w:spacing w:val="-2"/>
        </w:rPr>
        <w:t>Add the following:</w:t>
      </w:r>
    </w:p>
    <w:p w14:paraId="7A99E3DD" w14:textId="77777777" w:rsidR="0063079D" w:rsidRPr="003249CE" w:rsidRDefault="0063079D" w:rsidP="00E35CF9">
      <w:pPr>
        <w:suppressAutoHyphens/>
        <w:jc w:val="both"/>
        <w:rPr>
          <w:rFonts w:ascii="Times New Roman" w:hAnsi="Times New Roman"/>
          <w:spacing w:val="-2"/>
        </w:rPr>
      </w:pPr>
    </w:p>
    <w:p w14:paraId="7CC79F99" w14:textId="4FDABB1E" w:rsidR="007C36BA" w:rsidRPr="003249CE" w:rsidRDefault="00E35CF9" w:rsidP="00E35CF9">
      <w:pPr>
        <w:suppressAutoHyphens/>
        <w:jc w:val="both"/>
      </w:pPr>
      <w:r w:rsidRPr="003249CE">
        <w:rPr>
          <w:b/>
          <w:spacing w:val="-2"/>
        </w:rPr>
        <w:t>6.</w:t>
      </w:r>
      <w:r w:rsidR="00054069">
        <w:rPr>
          <w:b/>
          <w:spacing w:val="-2"/>
        </w:rPr>
        <w:t>7</w:t>
      </w:r>
      <w:r w:rsidRPr="003249CE">
        <w:rPr>
          <w:b/>
          <w:spacing w:val="-2"/>
        </w:rPr>
        <w:tab/>
      </w:r>
      <w:r w:rsidR="007C36BA" w:rsidRPr="003249CE">
        <w:t xml:space="preserve">After the </w:t>
      </w:r>
      <w:r w:rsidR="00796B04" w:rsidRPr="003249CE">
        <w:t>contract</w:t>
      </w:r>
      <w:r w:rsidR="007C36BA" w:rsidRPr="003249CE">
        <w:t xml:space="preserve"> is</w:t>
      </w:r>
      <w:r w:rsidR="00796B04" w:rsidRPr="003249CE">
        <w:rPr>
          <w:spacing w:val="-2"/>
        </w:rPr>
        <w:t xml:space="preserve"> awarded</w:t>
      </w:r>
      <w:r w:rsidR="007C36BA" w:rsidRPr="003249CE">
        <w:t xml:space="preserve">, and thereafter any change of subcontractor or agreed-upon amount to be paid to each shall require the approval of the public owner, upon a showing presented to the public owner of legitimate construction need for such change, which shall be open to public inspection. </w:t>
      </w:r>
      <w:r w:rsidRPr="003249CE">
        <w:t xml:space="preserve"> </w:t>
      </w:r>
      <w:r w:rsidR="007C36BA" w:rsidRPr="003249CE">
        <w:t>Legitimate construction need shall include, but not be limited to, a change in project specifications, a change in construction material costs, a change to subcontractor status as determined pursuant to paragraph</w:t>
      </w:r>
      <w:r w:rsidR="00432F2D" w:rsidRPr="003249CE">
        <w:t xml:space="preserve"> </w:t>
      </w:r>
      <w:r w:rsidR="007C36BA" w:rsidRPr="003249CE">
        <w:t>(e) of subdivision two</w:t>
      </w:r>
      <w:r w:rsidR="00432F2D" w:rsidRPr="003249CE">
        <w:t xml:space="preserve"> </w:t>
      </w:r>
      <w:r w:rsidR="007C36BA" w:rsidRPr="003249CE">
        <w:t>of section two hundred twenty-two of the labor law, or the subcontractor has become otherwise unwilling, unable or unavailable to perform the subcontract.</w:t>
      </w:r>
      <w:r w:rsidR="00432F2D" w:rsidRPr="003249CE">
        <w:t xml:space="preserve"> </w:t>
      </w:r>
      <w:r w:rsidRPr="003249CE">
        <w:t xml:space="preserve"> </w:t>
      </w:r>
      <w:r w:rsidR="007C36BA" w:rsidRPr="003249CE">
        <w:t xml:space="preserve">The </w:t>
      </w:r>
      <w:r w:rsidR="00796B04" w:rsidRPr="003249CE">
        <w:t xml:space="preserve">Contracting Officer shall approve any such changes prior to the contractor’s execution of such change. </w:t>
      </w:r>
      <w:r w:rsidRPr="003249CE">
        <w:t xml:space="preserve"> </w:t>
      </w:r>
      <w:r w:rsidR="00796B04" w:rsidRPr="003249CE">
        <w:t xml:space="preserve">The appropriate BDC </w:t>
      </w:r>
      <w:r w:rsidR="00D278BF" w:rsidRPr="003249CE">
        <w:t xml:space="preserve">forms </w:t>
      </w:r>
      <w:r w:rsidR="00796B04" w:rsidRPr="003249CE">
        <w:t>shall be utilized and submitted to Contract Administration’s Vendor Responsibility Unit, accordingly.</w:t>
      </w:r>
    </w:p>
    <w:p w14:paraId="1142BCC7" w14:textId="77777777" w:rsidR="00B51169" w:rsidRPr="003249CE" w:rsidRDefault="00B51169" w:rsidP="00E35CF9">
      <w:pPr>
        <w:suppressAutoHyphens/>
        <w:jc w:val="both"/>
        <w:rPr>
          <w:rFonts w:ascii="Times New Roman" w:hAnsi="Times New Roman"/>
          <w:spacing w:val="-2"/>
        </w:rPr>
      </w:pPr>
    </w:p>
    <w:p w14:paraId="4850CC13" w14:textId="77777777" w:rsidR="00B51169" w:rsidRPr="003249CE" w:rsidRDefault="00B51169" w:rsidP="00E35CF9">
      <w:pPr>
        <w:suppressAutoHyphens/>
        <w:jc w:val="center"/>
        <w:rPr>
          <w:rFonts w:ascii="Times New Roman" w:hAnsi="Times New Roman"/>
          <w:spacing w:val="-2"/>
        </w:rPr>
      </w:pPr>
      <w:r w:rsidRPr="003249CE">
        <w:rPr>
          <w:rFonts w:ascii="Times New Roman" w:hAnsi="Times New Roman"/>
          <w:b/>
          <w:spacing w:val="-2"/>
        </w:rPr>
        <w:t>END OF DOCUMENT</w:t>
      </w:r>
    </w:p>
    <w:p w14:paraId="5EB1CE11" w14:textId="77777777" w:rsidR="00B51169" w:rsidRPr="003249CE" w:rsidRDefault="00B51169" w:rsidP="00E35CF9">
      <w:pPr>
        <w:suppressAutoHyphens/>
        <w:jc w:val="both"/>
        <w:rPr>
          <w:rFonts w:ascii="Times New Roman" w:hAnsi="Times New Roman"/>
          <w:spacing w:val="-2"/>
        </w:rPr>
      </w:pPr>
    </w:p>
    <w:p w14:paraId="663B41DB" w14:textId="77777777" w:rsidR="00B51169" w:rsidRPr="003249CE" w:rsidRDefault="00B51169" w:rsidP="00E35CF9">
      <w:pPr>
        <w:suppressAutoHyphens/>
        <w:jc w:val="both"/>
        <w:rPr>
          <w:rFonts w:ascii="Times New Roman" w:hAnsi="Times New Roman"/>
          <w:spacing w:val="-2"/>
        </w:rPr>
      </w:pPr>
    </w:p>
    <w:sectPr w:rsidR="00B51169" w:rsidRPr="003249CE" w:rsidSect="00E35CF9">
      <w:headerReference w:type="default" r:id="rId7"/>
      <w:footerReference w:type="default" r:id="rId8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B0B0" w14:textId="77777777" w:rsidR="00F56786" w:rsidRDefault="00F56786">
      <w:pPr>
        <w:spacing w:line="20" w:lineRule="exact"/>
        <w:rPr>
          <w:sz w:val="24"/>
        </w:rPr>
      </w:pPr>
    </w:p>
  </w:endnote>
  <w:endnote w:type="continuationSeparator" w:id="0">
    <w:p w14:paraId="79A0E72B" w14:textId="77777777" w:rsidR="00F56786" w:rsidRDefault="00F56786">
      <w:r>
        <w:rPr>
          <w:sz w:val="24"/>
        </w:rPr>
        <w:t xml:space="preserve"> </w:t>
      </w:r>
    </w:p>
  </w:endnote>
  <w:endnote w:type="continuationNotice" w:id="1">
    <w:p w14:paraId="74EBD2F4" w14:textId="77777777" w:rsidR="00F56786" w:rsidRDefault="00F5678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 11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EFA7" w14:textId="77777777" w:rsidR="00E35CF9" w:rsidRDefault="000C4871" w:rsidP="00E35CF9">
    <w:pPr>
      <w:rPr>
        <w:sz w:val="16"/>
      </w:rPr>
    </w:pPr>
    <w:r>
      <w:rPr>
        <w:sz w:val="16"/>
      </w:rPr>
      <w:t xml:space="preserve">Updated </w:t>
    </w:r>
    <w:r w:rsidR="008659A8">
      <w:rPr>
        <w:sz w:val="16"/>
      </w:rPr>
      <w:t>06/01/2024</w:t>
    </w:r>
  </w:p>
  <w:p w14:paraId="68BE8DF7" w14:textId="03BC3A6C" w:rsidR="00750790" w:rsidRDefault="00E35CF9" w:rsidP="00E35CF9">
    <w:pPr>
      <w:tabs>
        <w:tab w:val="center" w:pos="5040"/>
        <w:tab w:val="right" w:pos="8640"/>
      </w:tabs>
      <w:suppressAutoHyphens/>
      <w:jc w:val="both"/>
      <w:rPr>
        <w:rFonts w:ascii="Times New Roman" w:hAnsi="Times New Roman"/>
        <w:spacing w:val="-2"/>
      </w:rPr>
    </w:pPr>
    <w:r>
      <w:rPr>
        <w:sz w:val="16"/>
      </w:rPr>
      <w:t xml:space="preserve">Printed </w:t>
    </w:r>
    <w:r>
      <w:rPr>
        <w:sz w:val="16"/>
      </w:rPr>
      <w:fldChar w:fldCharType="begin"/>
    </w:r>
    <w:r>
      <w:rPr>
        <w:sz w:val="16"/>
      </w:rPr>
      <w:instrText xml:space="preserve"> DATE  \@ "MM/dd/yyyy" </w:instrText>
    </w:r>
    <w:r>
      <w:rPr>
        <w:sz w:val="16"/>
      </w:rPr>
      <w:fldChar w:fldCharType="separate"/>
    </w:r>
    <w:r w:rsidR="00054069">
      <w:rPr>
        <w:noProof/>
        <w:sz w:val="16"/>
      </w:rPr>
      <w:t>11/08/2024</w:t>
    </w:r>
    <w:r>
      <w:rPr>
        <w:sz w:val="16"/>
      </w:rPr>
      <w:fldChar w:fldCharType="end"/>
    </w:r>
    <w:r w:rsidR="00750790">
      <w:rPr>
        <w:rFonts w:ascii="Times New Roman" w:hAnsi="Times New Roman"/>
        <w:spacing w:val="-2"/>
      </w:rPr>
      <w:tab/>
      <w:t>00</w:t>
    </w:r>
    <w:r w:rsidR="001C552A">
      <w:rPr>
        <w:rFonts w:ascii="Times New Roman" w:hAnsi="Times New Roman"/>
        <w:spacing w:val="-2"/>
      </w:rPr>
      <w:t>732</w:t>
    </w:r>
    <w:r w:rsidR="00750790">
      <w:rPr>
        <w:rFonts w:ascii="Times New Roman" w:hAnsi="Times New Roman"/>
        <w:spacing w:val="-2"/>
      </w:rPr>
      <w:t xml:space="preserve">0 - </w:t>
    </w:r>
    <w:r w:rsidR="00750790">
      <w:rPr>
        <w:rFonts w:ascii="Times New Roman" w:hAnsi="Times New Roman"/>
        <w:spacing w:val="-2"/>
      </w:rPr>
      <w:fldChar w:fldCharType="begin"/>
    </w:r>
    <w:r w:rsidR="00750790">
      <w:rPr>
        <w:rFonts w:ascii="Times New Roman" w:hAnsi="Times New Roman"/>
        <w:spacing w:val="-2"/>
      </w:rPr>
      <w:instrText>page \* arabic</w:instrText>
    </w:r>
    <w:r w:rsidR="00750790">
      <w:rPr>
        <w:rFonts w:ascii="Times New Roman" w:hAnsi="Times New Roman"/>
        <w:spacing w:val="-2"/>
      </w:rPr>
      <w:fldChar w:fldCharType="separate"/>
    </w:r>
    <w:r w:rsidR="007A1B08">
      <w:rPr>
        <w:rFonts w:ascii="Times New Roman" w:hAnsi="Times New Roman"/>
        <w:noProof/>
        <w:spacing w:val="-2"/>
      </w:rPr>
      <w:t>1</w:t>
    </w:r>
    <w:r w:rsidR="00750790">
      <w:rPr>
        <w:rFonts w:ascii="Times New Roman" w:hAnsi="Times New Roman"/>
        <w:spacing w:val="-2"/>
      </w:rPr>
      <w:fldChar w:fldCharType="end"/>
    </w:r>
    <w:r w:rsidR="00750790">
      <w:rPr>
        <w:rFonts w:ascii="Times New Roman" w:hAnsi="Times New Roman"/>
        <w:spacing w:val="-2"/>
      </w:rPr>
      <w:tab/>
      <w:t xml:space="preserve">Project No.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E37C" w14:textId="77777777" w:rsidR="00F56786" w:rsidRDefault="00F56786">
      <w:r>
        <w:rPr>
          <w:sz w:val="24"/>
        </w:rPr>
        <w:separator/>
      </w:r>
    </w:p>
  </w:footnote>
  <w:footnote w:type="continuationSeparator" w:id="0">
    <w:p w14:paraId="535788BF" w14:textId="77777777" w:rsidR="00F56786" w:rsidRDefault="00F5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1062" w14:textId="77777777" w:rsidR="00E35CF9" w:rsidRDefault="00E3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DE7"/>
    <w:multiLevelType w:val="hybridMultilevel"/>
    <w:tmpl w:val="A83C749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94AE6"/>
    <w:multiLevelType w:val="hybridMultilevel"/>
    <w:tmpl w:val="4B488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8648974">
    <w:abstractNumId w:val="1"/>
  </w:num>
  <w:num w:numId="2" w16cid:durableId="92576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FF3"/>
    <w:rsid w:val="00021AB3"/>
    <w:rsid w:val="00054069"/>
    <w:rsid w:val="000564F6"/>
    <w:rsid w:val="000C4871"/>
    <w:rsid w:val="000D00E6"/>
    <w:rsid w:val="001230BF"/>
    <w:rsid w:val="00124B50"/>
    <w:rsid w:val="0013125A"/>
    <w:rsid w:val="001925FD"/>
    <w:rsid w:val="001A414C"/>
    <w:rsid w:val="001C552A"/>
    <w:rsid w:val="001D2838"/>
    <w:rsid w:val="00306E94"/>
    <w:rsid w:val="003249CE"/>
    <w:rsid w:val="00344EDA"/>
    <w:rsid w:val="0036534A"/>
    <w:rsid w:val="00394C39"/>
    <w:rsid w:val="003A5DBE"/>
    <w:rsid w:val="003A684F"/>
    <w:rsid w:val="003D41B4"/>
    <w:rsid w:val="00432F2D"/>
    <w:rsid w:val="004A2060"/>
    <w:rsid w:val="004D0D27"/>
    <w:rsid w:val="00512F7D"/>
    <w:rsid w:val="0054241B"/>
    <w:rsid w:val="005A07F6"/>
    <w:rsid w:val="005C5C27"/>
    <w:rsid w:val="0063079D"/>
    <w:rsid w:val="00637343"/>
    <w:rsid w:val="006A143C"/>
    <w:rsid w:val="006A5311"/>
    <w:rsid w:val="00717C60"/>
    <w:rsid w:val="00726E59"/>
    <w:rsid w:val="00750790"/>
    <w:rsid w:val="00796B04"/>
    <w:rsid w:val="00797D35"/>
    <w:rsid w:val="007A1B08"/>
    <w:rsid w:val="007A3B5F"/>
    <w:rsid w:val="007C36BA"/>
    <w:rsid w:val="007E2613"/>
    <w:rsid w:val="007E77A1"/>
    <w:rsid w:val="008659A8"/>
    <w:rsid w:val="00894468"/>
    <w:rsid w:val="008F57E6"/>
    <w:rsid w:val="008F5A16"/>
    <w:rsid w:val="009361D8"/>
    <w:rsid w:val="009E34DE"/>
    <w:rsid w:val="00A10181"/>
    <w:rsid w:val="00A15D86"/>
    <w:rsid w:val="00A172FF"/>
    <w:rsid w:val="00A72C9D"/>
    <w:rsid w:val="00A87D8C"/>
    <w:rsid w:val="00AC61DA"/>
    <w:rsid w:val="00B06201"/>
    <w:rsid w:val="00B07A8D"/>
    <w:rsid w:val="00B358FE"/>
    <w:rsid w:val="00B51169"/>
    <w:rsid w:val="00B5138E"/>
    <w:rsid w:val="00BA1282"/>
    <w:rsid w:val="00BE58DF"/>
    <w:rsid w:val="00C07622"/>
    <w:rsid w:val="00C52544"/>
    <w:rsid w:val="00CA7335"/>
    <w:rsid w:val="00CB24BD"/>
    <w:rsid w:val="00CC3A9A"/>
    <w:rsid w:val="00CD4D3C"/>
    <w:rsid w:val="00D278BF"/>
    <w:rsid w:val="00DA1A54"/>
    <w:rsid w:val="00E35CF9"/>
    <w:rsid w:val="00EF1B73"/>
    <w:rsid w:val="00F56786"/>
    <w:rsid w:val="00F65FF3"/>
    <w:rsid w:val="00F713B7"/>
    <w:rsid w:val="00F877E9"/>
    <w:rsid w:val="00F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8ADF7"/>
  <w15:chartTrackingRefBased/>
  <w15:docId w15:val="{0CE455B1-AB0B-4A5B-BD1B-B5A87C56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Rmn 11pt" w:hAnsi="TmsRmn 11pt"/>
      <w:sz w:val="22"/>
    </w:rPr>
  </w:style>
  <w:style w:type="paragraph" w:styleId="Heading1">
    <w:name w:val="heading 1"/>
    <w:basedOn w:val="Normal"/>
    <w:next w:val="Normal"/>
    <w:qFormat/>
    <w:rsid w:val="00344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344EDA"/>
    <w:pPr>
      <w:keepNext/>
      <w:widowControl/>
      <w:overflowPunct/>
      <w:autoSpaceDE/>
      <w:autoSpaceDN/>
      <w:adjustRightInd/>
      <w:textAlignment w:val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msRmn 11pt" w:hAnsi="TmsRmn 11pt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TmsRmn 11pt" w:hAnsi="TmsRmn 11pt"/>
      <w:noProof w:val="0"/>
      <w:sz w:val="22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msRmn 11pt" w:hAnsi="TmsRmn 11pt"/>
      <w:sz w:val="22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msRmn 11pt" w:hAnsi="TmsRmn 11pt"/>
      <w:noProof w:val="0"/>
      <w:sz w:val="22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TmsRmn 11pt" w:hAnsi="TmsRmn 11pt"/>
      <w:noProof w:val="0"/>
      <w:sz w:val="22"/>
      <w:lang w:val="en-US"/>
    </w:rPr>
  </w:style>
  <w:style w:type="character" w:customStyle="1" w:styleId="Technical3">
    <w:name w:val="Technical 3"/>
    <w:rPr>
      <w:rFonts w:ascii="TmsRmn 11pt" w:hAnsi="TmsRmn 11pt"/>
      <w:noProof w:val="0"/>
      <w:sz w:val="22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TmsRmn 11pt" w:hAnsi="TmsRmn 11pt"/>
      <w:noProof w:val="0"/>
      <w:sz w:val="22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44EDA"/>
    <w:pPr>
      <w:widowControl/>
      <w:overflowPunct/>
      <w:autoSpaceDE/>
      <w:autoSpaceDN/>
      <w:adjustRightInd/>
      <w:textAlignment w:val="auto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rsid w:val="00344EDA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textAlignment w:val="auto"/>
    </w:pPr>
    <w:rPr>
      <w:rFonts w:ascii="Tahoma" w:hAnsi="Tahoma" w:cs="Tahoma"/>
      <w:i/>
      <w:iCs/>
      <w:sz w:val="20"/>
    </w:rPr>
  </w:style>
  <w:style w:type="paragraph" w:styleId="BodyText">
    <w:name w:val="Body Text"/>
    <w:basedOn w:val="Normal"/>
    <w:rsid w:val="0013125A"/>
    <w:pPr>
      <w:spacing w:after="120"/>
    </w:pPr>
  </w:style>
  <w:style w:type="paragraph" w:styleId="BalloonText">
    <w:name w:val="Balloon Text"/>
    <w:basedOn w:val="Normal"/>
    <w:semiHidden/>
    <w:rsid w:val="00A101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7C36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Revision">
    <w:name w:val="Revision"/>
    <w:hidden/>
    <w:uiPriority w:val="99"/>
    <w:semiHidden/>
    <w:rsid w:val="008659A8"/>
    <w:rPr>
      <w:rFonts w:ascii="TmsRmn 11pt" w:hAnsi="TmsRmn 11p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C  AFFIRMATIVE ACTIONS [FOR EDIT]</vt:lpstr>
    </vt:vector>
  </TitlesOfParts>
  <Company>OGS, D&amp;C, EDP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C  AFFIRMATIVE ACTIONS [FOR EDIT]</dc:title>
  <dc:subject/>
  <dc:creator>Information Services</dc:creator>
  <cp:keywords/>
  <dc:description/>
  <cp:lastModifiedBy>Kelly, Kevin P (OGS)</cp:lastModifiedBy>
  <cp:revision>4</cp:revision>
  <cp:lastPrinted>2009-01-22T13:33:00Z</cp:lastPrinted>
  <dcterms:created xsi:type="dcterms:W3CDTF">2024-03-23T21:05:00Z</dcterms:created>
  <dcterms:modified xsi:type="dcterms:W3CDTF">2024-11-08T22:08:00Z</dcterms:modified>
</cp:coreProperties>
</file>